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00" w:rsidRDefault="00237500" w:rsidP="009562B0">
      <w:pPr>
        <w:spacing w:line="240" w:lineRule="auto"/>
        <w:rPr>
          <w:b/>
          <w:lang w:val="en-GB"/>
        </w:rPr>
      </w:pPr>
    </w:p>
    <w:p w:rsidR="00141B96" w:rsidRDefault="00141B96" w:rsidP="009562B0">
      <w:pPr>
        <w:spacing w:line="240" w:lineRule="auto"/>
        <w:rPr>
          <w:b/>
          <w:lang w:val="en-GB"/>
        </w:rPr>
      </w:pPr>
      <w:r>
        <w:rPr>
          <w:b/>
          <w:lang w:val="en-GB"/>
        </w:rPr>
        <w:t>CURRICULUM  VITAE</w:t>
      </w:r>
    </w:p>
    <w:p w:rsidR="00141B96" w:rsidRDefault="00141B96" w:rsidP="009562B0">
      <w:pPr>
        <w:spacing w:line="240" w:lineRule="auto"/>
        <w:rPr>
          <w:b/>
          <w:lang w:val="en-GB"/>
        </w:rPr>
      </w:pPr>
    </w:p>
    <w:p w:rsidR="00CE0366" w:rsidRDefault="00CE0366" w:rsidP="009562B0">
      <w:pPr>
        <w:spacing w:line="240" w:lineRule="auto"/>
        <w:rPr>
          <w:b/>
          <w:lang w:val="en-GB"/>
        </w:rPr>
      </w:pPr>
    </w:p>
    <w:p w:rsidR="00237500" w:rsidRPr="00141B96" w:rsidRDefault="00237500" w:rsidP="009562B0">
      <w:pPr>
        <w:spacing w:line="240" w:lineRule="auto"/>
        <w:rPr>
          <w:b/>
          <w:lang w:val="en-GB"/>
        </w:rPr>
      </w:pPr>
    </w:p>
    <w:p w:rsidR="00894787" w:rsidRDefault="00CE0366" w:rsidP="009562B0">
      <w:pPr>
        <w:spacing w:line="240" w:lineRule="auto"/>
        <w:rPr>
          <w:lang w:val="en-GB" w:eastAsia="is-IS" w:bidi="ar-SA"/>
        </w:rPr>
      </w:pPr>
      <w:r>
        <w:rPr>
          <w:lang w:val="en-GB"/>
        </w:rPr>
        <w:t>Adolf Frid</w:t>
      </w:r>
      <w:r w:rsidR="00894787">
        <w:rPr>
          <w:lang w:val="en-GB"/>
        </w:rPr>
        <w:t>riksson, Date of Birth: 30 Oct 1963</w:t>
      </w:r>
      <w:r w:rsidR="009562B0">
        <w:rPr>
          <w:lang w:val="en-GB"/>
        </w:rPr>
        <w:t xml:space="preserve">, Address: </w:t>
      </w:r>
      <w:r>
        <w:rPr>
          <w:lang w:val="en-GB" w:eastAsia="is-IS" w:bidi="ar-SA"/>
        </w:rPr>
        <w:t>Institute of Archaeology, Bárugata 3,</w:t>
      </w:r>
      <w:r w:rsidR="00894787">
        <w:rPr>
          <w:lang w:val="en-GB" w:eastAsia="is-IS" w:bidi="ar-SA"/>
        </w:rPr>
        <w:t xml:space="preserve"> 101 Reykjavík</w:t>
      </w:r>
    </w:p>
    <w:p w:rsidR="009562B0" w:rsidRDefault="00AD22C1" w:rsidP="009562B0">
      <w:pPr>
        <w:spacing w:line="240" w:lineRule="auto"/>
      </w:pPr>
      <w:hyperlink r:id="rId8" w:history="1">
        <w:r w:rsidR="009562B0" w:rsidRPr="0035061B">
          <w:rPr>
            <w:rStyle w:val="Hyperlink"/>
          </w:rPr>
          <w:t>adolf@instarch.is</w:t>
        </w:r>
      </w:hyperlink>
      <w:r w:rsidR="009562B0">
        <w:t xml:space="preserve">, </w:t>
      </w:r>
      <w:hyperlink r:id="rId9" w:tgtFrame="_blank" w:history="1">
        <w:r w:rsidR="009562B0">
          <w:rPr>
            <w:rStyle w:val="Hyperlink"/>
          </w:rPr>
          <w:t>http://paris-sorbonne.academia.edu/Departments/Etudes_germaniques</w:t>
        </w:r>
      </w:hyperlink>
    </w:p>
    <w:p w:rsidR="00141B96" w:rsidRDefault="00141B96" w:rsidP="009562B0">
      <w:pPr>
        <w:autoSpaceDN w:val="0"/>
        <w:spacing w:line="240" w:lineRule="auto"/>
        <w:rPr>
          <w:lang w:val="is-IS"/>
        </w:rPr>
      </w:pPr>
    </w:p>
    <w:p w:rsidR="00237500" w:rsidRDefault="00237500" w:rsidP="009562B0">
      <w:pPr>
        <w:autoSpaceDN w:val="0"/>
        <w:spacing w:line="240" w:lineRule="auto"/>
        <w:rPr>
          <w:lang w:val="is-IS"/>
        </w:rPr>
      </w:pPr>
    </w:p>
    <w:p w:rsidR="00141B96" w:rsidRPr="00141B96" w:rsidRDefault="00141B96" w:rsidP="009562B0">
      <w:pPr>
        <w:autoSpaceDN w:val="0"/>
        <w:spacing w:line="240" w:lineRule="auto"/>
        <w:rPr>
          <w:i/>
          <w:lang w:val="is-IS"/>
        </w:rPr>
      </w:pPr>
      <w:r w:rsidRPr="00141B96">
        <w:rPr>
          <w:i/>
          <w:lang w:val="is-IS"/>
        </w:rPr>
        <w:t xml:space="preserve">Education: </w:t>
      </w:r>
    </w:p>
    <w:p w:rsidR="009562B0" w:rsidRPr="006D5E56" w:rsidRDefault="009562B0" w:rsidP="006D5E56">
      <w:pPr>
        <w:autoSpaceDE w:val="0"/>
        <w:autoSpaceDN w:val="0"/>
        <w:adjustRightInd w:val="0"/>
        <w:spacing w:line="240" w:lineRule="auto"/>
        <w:rPr>
          <w:rFonts w:eastAsia="Arial Unicode MS"/>
          <w:szCs w:val="24"/>
          <w:lang w:val="is-IS" w:bidi="ar-SA"/>
        </w:rPr>
      </w:pPr>
      <w:r>
        <w:rPr>
          <w:lang w:val="is-IS"/>
        </w:rPr>
        <w:t xml:space="preserve">Phd, </w:t>
      </w:r>
      <w:r w:rsidR="006D5E56">
        <w:rPr>
          <w:lang w:val="is-IS"/>
        </w:rPr>
        <w:t>(</w:t>
      </w:r>
      <w:r w:rsidR="006D5E56">
        <w:rPr>
          <w:rFonts w:eastAsia="Arial Unicode MS"/>
          <w:i/>
          <w:iCs/>
          <w:szCs w:val="24"/>
          <w:lang w:val="is-IS" w:bidi="ar-SA"/>
        </w:rPr>
        <w:t>La place du mort.  Les tombes vikings dans le paysage culturel islandais,</w:t>
      </w:r>
      <w:r w:rsidR="006D5E56">
        <w:rPr>
          <w:rFonts w:eastAsia="Arial Unicode MS"/>
          <w:szCs w:val="24"/>
          <w:lang w:val="is-IS" w:bidi="ar-SA"/>
        </w:rPr>
        <w:t xml:space="preserve"> (thèse de doctorat, non publié),  Paris, Université Paris IV - Sorbonne</w:t>
      </w:r>
      <w:r>
        <w:rPr>
          <w:lang w:val="is-IS"/>
        </w:rPr>
        <w:t>,</w:t>
      </w:r>
      <w:r>
        <w:t xml:space="preserve"> </w:t>
      </w:r>
      <w:r>
        <w:rPr>
          <w:lang w:val="is-IS"/>
        </w:rPr>
        <w:t>2010</w:t>
      </w:r>
      <w:r w:rsidRPr="00B03D95">
        <w:rPr>
          <w:lang w:val="is-IS"/>
        </w:rPr>
        <w:t>-201</w:t>
      </w:r>
      <w:r>
        <w:rPr>
          <w:lang w:val="is-IS"/>
        </w:rPr>
        <w:t>3.</w:t>
      </w:r>
    </w:p>
    <w:p w:rsidR="009562B0" w:rsidRPr="00B03D95" w:rsidRDefault="009562B0" w:rsidP="009562B0">
      <w:pPr>
        <w:autoSpaceDN w:val="0"/>
        <w:spacing w:line="240" w:lineRule="auto"/>
        <w:rPr>
          <w:lang w:val="is-IS"/>
        </w:rPr>
      </w:pPr>
      <w:r w:rsidRPr="00B03D95">
        <w:rPr>
          <w:lang w:val="fr-FR"/>
        </w:rPr>
        <w:t xml:space="preserve">Histoire et philologie de la </w:t>
      </w:r>
      <w:r w:rsidRPr="00B03D95">
        <w:rPr>
          <w:bCs/>
          <w:lang w:val="fr-FR"/>
        </w:rPr>
        <w:t>Scandinavie ancienne</w:t>
      </w:r>
      <w:r w:rsidRPr="00B03D95">
        <w:rPr>
          <w:lang w:val="fr-FR"/>
        </w:rPr>
        <w:t xml:space="preserve"> et médiévale</w:t>
      </w:r>
      <w:r>
        <w:t xml:space="preserve">, </w:t>
      </w:r>
      <w:r w:rsidRPr="00B03D95">
        <w:rPr>
          <w:lang w:val="is-IS"/>
        </w:rPr>
        <w:t>École pra</w:t>
      </w:r>
      <w:r>
        <w:t>tique des Hautes Études, Paris, 1993-1997.</w:t>
      </w:r>
    </w:p>
    <w:p w:rsidR="009562B0" w:rsidRDefault="009562B0" w:rsidP="009562B0">
      <w:pPr>
        <w:autoSpaceDE w:val="0"/>
        <w:adjustRightInd w:val="0"/>
        <w:spacing w:afterLines="20" w:after="48" w:line="240" w:lineRule="auto"/>
        <w:contextualSpacing/>
      </w:pPr>
      <w:r w:rsidRPr="00B03D95">
        <w:rPr>
          <w:lang w:val="is-IS"/>
        </w:rPr>
        <w:t>M.Phil</w:t>
      </w:r>
      <w:r>
        <w:t xml:space="preserve">., </w:t>
      </w:r>
      <w:r w:rsidRPr="00B03D95">
        <w:t xml:space="preserve"> </w:t>
      </w:r>
      <w:r w:rsidRPr="00B03D95">
        <w:rPr>
          <w:lang w:val="is-IS"/>
        </w:rPr>
        <w:t>Institute of Archae</w:t>
      </w:r>
      <w:r>
        <w:t>ology, UCL, London. Archaeology, 1988-1991.</w:t>
      </w:r>
    </w:p>
    <w:p w:rsidR="00894787" w:rsidRPr="00B03D95" w:rsidRDefault="009562B0" w:rsidP="009562B0">
      <w:pPr>
        <w:spacing w:line="240" w:lineRule="auto"/>
        <w:contextualSpacing/>
        <w:jc w:val="both"/>
        <w:rPr>
          <w:lang w:val="is-IS"/>
        </w:rPr>
      </w:pPr>
      <w:r w:rsidRPr="00B03D95">
        <w:rPr>
          <w:lang w:val="is-IS"/>
        </w:rPr>
        <w:t>BA (Hons.)</w:t>
      </w:r>
      <w:r>
        <w:rPr>
          <w:lang w:val="is-IS"/>
        </w:rPr>
        <w:t>,</w:t>
      </w:r>
      <w:r w:rsidRPr="00B03D95">
        <w:rPr>
          <w:lang w:val="is-IS"/>
        </w:rPr>
        <w:t xml:space="preserve"> </w:t>
      </w:r>
      <w:r w:rsidR="00894787" w:rsidRPr="00B03D95">
        <w:rPr>
          <w:lang w:val="is-IS"/>
        </w:rPr>
        <w:t xml:space="preserve">Institute of Archaeology, London. Archaeology. </w:t>
      </w:r>
      <w:r>
        <w:rPr>
          <w:lang w:val="is-IS"/>
        </w:rPr>
        <w:t>1985-1988.</w:t>
      </w:r>
    </w:p>
    <w:p w:rsidR="00894787" w:rsidRDefault="00894787" w:rsidP="009562B0">
      <w:pPr>
        <w:spacing w:line="240" w:lineRule="auto"/>
        <w:contextualSpacing/>
        <w:jc w:val="both"/>
        <w:rPr>
          <w:lang w:val="is-IS"/>
        </w:rPr>
      </w:pPr>
      <w:r w:rsidRPr="00B03D95">
        <w:rPr>
          <w:lang w:val="is-IS"/>
        </w:rPr>
        <w:t>Landscapes and Documents (Univ. of Oxford), Air-Photo Interpretation in Archaeology (Univ. of Oxford), History of Ideas (Wellcome Inst., London), History and Philosophy of Scienc</w:t>
      </w:r>
      <w:r w:rsidR="009562B0">
        <w:rPr>
          <w:lang w:val="is-IS"/>
        </w:rPr>
        <w:t xml:space="preserve">e (University College, London), </w:t>
      </w:r>
      <w:r w:rsidR="009562B0" w:rsidRPr="00B03D95">
        <w:rPr>
          <w:lang w:val="is-IS"/>
        </w:rPr>
        <w:t>1990-1996</w:t>
      </w:r>
      <w:r w:rsidR="009562B0">
        <w:rPr>
          <w:lang w:val="is-IS"/>
        </w:rPr>
        <w:t>.</w:t>
      </w:r>
    </w:p>
    <w:p w:rsidR="009562B0" w:rsidRDefault="009562B0" w:rsidP="009562B0">
      <w:pPr>
        <w:spacing w:line="240" w:lineRule="auto"/>
        <w:contextualSpacing/>
        <w:jc w:val="both"/>
        <w:rPr>
          <w:lang w:val="is-IS"/>
        </w:rPr>
      </w:pPr>
    </w:p>
    <w:p w:rsidR="00B36F45" w:rsidRDefault="009562B0" w:rsidP="009562B0">
      <w:pPr>
        <w:autoSpaceDE w:val="0"/>
        <w:adjustRightInd w:val="0"/>
        <w:spacing w:afterLines="20" w:after="48" w:line="240" w:lineRule="auto"/>
        <w:contextualSpacing/>
      </w:pPr>
      <w:r>
        <w:rPr>
          <w:i/>
        </w:rPr>
        <w:t>Work E</w:t>
      </w:r>
      <w:r w:rsidRPr="00077283">
        <w:rPr>
          <w:i/>
        </w:rPr>
        <w:t>xperience:</w:t>
      </w:r>
      <w:r>
        <w:t xml:space="preserve">  </w:t>
      </w:r>
    </w:p>
    <w:p w:rsidR="009562B0" w:rsidRDefault="00CE0366" w:rsidP="009562B0">
      <w:pPr>
        <w:autoSpaceDE w:val="0"/>
        <w:adjustRightInd w:val="0"/>
        <w:spacing w:afterLines="20" w:after="48" w:line="240" w:lineRule="auto"/>
        <w:contextualSpacing/>
        <w:rPr>
          <w:lang w:val="is-IS"/>
        </w:rPr>
      </w:pPr>
      <w:bookmarkStart w:id="0" w:name="_GoBack"/>
      <w:bookmarkEnd w:id="0"/>
      <w:r>
        <w:t xml:space="preserve">Current post: </w:t>
      </w:r>
      <w:r w:rsidR="009562B0">
        <w:t xml:space="preserve">Director, Institute of Archaeology, Iceland (from 1995). </w:t>
      </w:r>
      <w:r w:rsidR="009562B0">
        <w:rPr>
          <w:lang w:val="is-IS"/>
        </w:rPr>
        <w:t>Visiting Scholar, Cambridge</w:t>
      </w:r>
      <w:r w:rsidR="009562B0" w:rsidRPr="00B03D95">
        <w:rPr>
          <w:lang w:val="is-IS"/>
        </w:rPr>
        <w:t>, 20</w:t>
      </w:r>
      <w:r w:rsidR="009562B0">
        <w:t xml:space="preserve">09-2011, President K. </w:t>
      </w:r>
      <w:r w:rsidR="009562B0" w:rsidRPr="00B03D95">
        <w:rPr>
          <w:lang w:val="is-IS"/>
        </w:rPr>
        <w:t xml:space="preserve">Eldjárn Research </w:t>
      </w:r>
      <w:r w:rsidR="009562B0">
        <w:t>Fellowship 1999</w:t>
      </w:r>
      <w:r w:rsidR="009562B0" w:rsidRPr="00B03D95">
        <w:rPr>
          <w:lang w:val="is-IS"/>
        </w:rPr>
        <w:t xml:space="preserve">-2002, Digital Mapping, Geophysics Dept., Science School, University of Iceland </w:t>
      </w:r>
      <w:r w:rsidR="009562B0">
        <w:t>(1991-</w:t>
      </w:r>
      <w:r w:rsidR="009562B0" w:rsidRPr="00B03D95">
        <w:rPr>
          <w:lang w:val="is-IS"/>
        </w:rPr>
        <w:t>92</w:t>
      </w:r>
      <w:r w:rsidR="009562B0">
        <w:t>)</w:t>
      </w:r>
      <w:r w:rsidR="009562B0" w:rsidRPr="00B03D95">
        <w:rPr>
          <w:lang w:val="is-IS"/>
        </w:rPr>
        <w:t xml:space="preserve">. </w:t>
      </w:r>
    </w:p>
    <w:p w:rsidR="00141B96" w:rsidRDefault="00141B96" w:rsidP="009562B0">
      <w:pPr>
        <w:autoSpaceDE w:val="0"/>
        <w:adjustRightInd w:val="0"/>
        <w:spacing w:afterLines="20" w:after="48" w:line="240" w:lineRule="auto"/>
        <w:contextualSpacing/>
      </w:pPr>
    </w:p>
    <w:p w:rsidR="009562B0" w:rsidRDefault="009562B0" w:rsidP="009562B0">
      <w:pPr>
        <w:autoSpaceDE w:val="0"/>
        <w:adjustRightInd w:val="0"/>
        <w:spacing w:afterLines="20" w:after="48" w:line="240" w:lineRule="auto"/>
        <w:contextualSpacing/>
      </w:pPr>
      <w:r w:rsidRPr="00077283">
        <w:rPr>
          <w:i/>
        </w:rPr>
        <w:t>Fieldwork Experience:</w:t>
      </w:r>
      <w:r>
        <w:t xml:space="preserve"> Iceland, England, France, Norway, Italy, Barbuda.</w:t>
      </w:r>
    </w:p>
    <w:p w:rsidR="009562B0" w:rsidRDefault="009562B0" w:rsidP="009562B0">
      <w:pPr>
        <w:spacing w:line="240" w:lineRule="auto"/>
        <w:contextualSpacing/>
        <w:jc w:val="both"/>
        <w:rPr>
          <w:i/>
        </w:rPr>
      </w:pPr>
    </w:p>
    <w:p w:rsidR="009562B0" w:rsidRDefault="009562B0" w:rsidP="009562B0">
      <w:pPr>
        <w:spacing w:line="240" w:lineRule="auto"/>
        <w:contextualSpacing/>
        <w:jc w:val="both"/>
      </w:pPr>
      <w:r w:rsidRPr="00077283">
        <w:rPr>
          <w:i/>
        </w:rPr>
        <w:t>Administration</w:t>
      </w:r>
      <w:r>
        <w:t xml:space="preserve">: </w:t>
      </w:r>
      <w:r w:rsidR="00141B96">
        <w:t xml:space="preserve">Project Management Committees: </w:t>
      </w:r>
      <w:r w:rsidR="00141B96">
        <w:rPr>
          <w:rStyle w:val="Emphasis"/>
        </w:rPr>
        <w:t>ArcLand</w:t>
      </w:r>
      <w:r w:rsidR="00141B96">
        <w:rPr>
          <w:rStyle w:val="st"/>
        </w:rPr>
        <w:t xml:space="preserve"> - Archaeolandscapes Europe EU Culture 2007–2015; </w:t>
      </w:r>
      <w:r w:rsidR="00141B96" w:rsidRPr="00B03D95">
        <w:rPr>
          <w:lang w:val="is-IS"/>
        </w:rPr>
        <w:t>Protection of pre-industrial Landscapes</w:t>
      </w:r>
      <w:r w:rsidR="00141B96">
        <w:t>, Eur. Sc. Foundation Project</w:t>
      </w:r>
      <w:r w:rsidR="00141B96" w:rsidRPr="00B03D95">
        <w:rPr>
          <w:lang w:val="is-IS"/>
        </w:rPr>
        <w:t xml:space="preserve"> (</w:t>
      </w:r>
      <w:r w:rsidR="00141B96">
        <w:t xml:space="preserve">2002-2007); ARENA (Archaeological Database, 1999-2001); </w:t>
      </w:r>
      <w:r>
        <w:t xml:space="preserve">Board member: </w:t>
      </w:r>
      <w:r w:rsidRPr="00B03D95">
        <w:rPr>
          <w:lang w:val="is-IS"/>
        </w:rPr>
        <w:t>Nordic World H</w:t>
      </w:r>
      <w:r>
        <w:t xml:space="preserve">eritage Office, Oslo (1999-2001); TL-Laboratory, Aarhus, Denmark </w:t>
      </w:r>
      <w:r w:rsidRPr="00B03D95">
        <w:rPr>
          <w:lang w:val="is-IS"/>
        </w:rPr>
        <w:t>(1996-1999); Sociè</w:t>
      </w:r>
      <w:r>
        <w:t>te des études nordiques, Paris</w:t>
      </w:r>
      <w:r w:rsidR="00141B96">
        <w:rPr>
          <w:lang w:val="is-IS"/>
        </w:rPr>
        <w:t xml:space="preserve">(1996 -1998); </w:t>
      </w:r>
      <w:r w:rsidR="00141B96" w:rsidRPr="00B03D95">
        <w:rPr>
          <w:lang w:val="is-IS"/>
        </w:rPr>
        <w:t xml:space="preserve">Institute of Archaeology, Iceland </w:t>
      </w:r>
      <w:r w:rsidR="00141B96">
        <w:t>(1995- ).</w:t>
      </w:r>
    </w:p>
    <w:p w:rsidR="009562B0" w:rsidRPr="00B03D95" w:rsidRDefault="009562B0" w:rsidP="009562B0">
      <w:pPr>
        <w:spacing w:line="240" w:lineRule="auto"/>
        <w:contextualSpacing/>
        <w:jc w:val="both"/>
        <w:rPr>
          <w:lang w:val="is-IS"/>
        </w:rPr>
      </w:pPr>
    </w:p>
    <w:p w:rsidR="009562B0" w:rsidRDefault="009562B0" w:rsidP="009562B0">
      <w:pPr>
        <w:spacing w:line="240" w:lineRule="auto"/>
        <w:contextualSpacing/>
        <w:jc w:val="both"/>
      </w:pPr>
      <w:r w:rsidRPr="00077283">
        <w:rPr>
          <w:i/>
        </w:rPr>
        <w:t>Teaching, supervision, jury</w:t>
      </w:r>
      <w:r>
        <w:t>: Universities</w:t>
      </w:r>
      <w:r w:rsidRPr="00B03D95">
        <w:rPr>
          <w:lang w:val="is-IS"/>
        </w:rPr>
        <w:t xml:space="preserve"> of </w:t>
      </w:r>
      <w:r>
        <w:t xml:space="preserve">Iceland, Cambridge, Lille, Glasgow, </w:t>
      </w:r>
      <w:r w:rsidR="00CE0366">
        <w:t xml:space="preserve">Umeå, </w:t>
      </w:r>
      <w:r>
        <w:t xml:space="preserve">Laval and New York (CUNY). </w:t>
      </w:r>
    </w:p>
    <w:p w:rsidR="009562B0" w:rsidRDefault="009562B0" w:rsidP="009562B0">
      <w:pPr>
        <w:spacing w:line="240" w:lineRule="auto"/>
        <w:contextualSpacing/>
        <w:jc w:val="both"/>
        <w:rPr>
          <w:lang w:val="is-IS"/>
        </w:rPr>
      </w:pPr>
    </w:p>
    <w:p w:rsidR="00E74A8B" w:rsidRPr="002C6725" w:rsidRDefault="00E74A8B" w:rsidP="009562B0">
      <w:pPr>
        <w:spacing w:line="240" w:lineRule="auto"/>
        <w:contextualSpacing/>
        <w:jc w:val="both"/>
        <w:rPr>
          <w:lang w:val="is-IS"/>
        </w:rPr>
      </w:pPr>
    </w:p>
    <w:p w:rsidR="00141B96" w:rsidRPr="00141B96" w:rsidRDefault="00141B96" w:rsidP="00C557E1">
      <w:pPr>
        <w:autoSpaceDE w:val="0"/>
        <w:adjustRightInd w:val="0"/>
        <w:spacing w:line="240" w:lineRule="auto"/>
        <w:rPr>
          <w:i/>
        </w:rPr>
      </w:pPr>
      <w:r>
        <w:rPr>
          <w:i/>
        </w:rPr>
        <w:t>Select Bibliography:</w:t>
      </w:r>
    </w:p>
    <w:p w:rsidR="00E87C87" w:rsidRDefault="00E87C87" w:rsidP="00C557E1">
      <w:pPr>
        <w:autoSpaceDE w:val="0"/>
        <w:adjustRightInd w:val="0"/>
        <w:spacing w:line="240" w:lineRule="auto"/>
      </w:pPr>
    </w:p>
    <w:p w:rsidR="00E87C87" w:rsidRDefault="00E87C87" w:rsidP="00E87C87">
      <w:pPr>
        <w:pStyle w:val="Heading2"/>
        <w:ind w:left="0" w:firstLine="0"/>
        <w:rPr>
          <w:lang w:val="en-GB"/>
        </w:rPr>
      </w:pPr>
      <w:r>
        <w:rPr>
          <w:lang w:val="en-GB"/>
        </w:rPr>
        <w:t xml:space="preserve">Books </w:t>
      </w:r>
    </w:p>
    <w:p w:rsidR="00D568EE" w:rsidRPr="00B03D95" w:rsidRDefault="00D568EE" w:rsidP="00D568EE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  <w:r>
        <w:rPr>
          <w:lang w:val="is-IS"/>
        </w:rPr>
        <w:t>Adolf Fridriksson</w:t>
      </w:r>
      <w:r w:rsidR="00E74A8B">
        <w:rPr>
          <w:lang w:val="is-IS"/>
        </w:rPr>
        <w:t xml:space="preserve">, </w:t>
      </w:r>
      <w:r w:rsidRPr="00B03D95">
        <w:rPr>
          <w:i/>
          <w:iCs/>
          <w:lang w:val="is-IS"/>
        </w:rPr>
        <w:t>Sagas and popular Antiquarianism in Icelandic Archaeology,</w:t>
      </w:r>
      <w:r w:rsidRPr="00B03D95">
        <w:rPr>
          <w:lang w:val="is-IS"/>
        </w:rPr>
        <w:t xml:space="preserve"> Aldershot</w:t>
      </w:r>
      <w:r>
        <w:rPr>
          <w:lang w:val="is-IS"/>
        </w:rPr>
        <w:t>, Avebury</w:t>
      </w:r>
      <w:r w:rsidR="00E74A8B">
        <w:rPr>
          <w:lang w:val="is-IS"/>
        </w:rPr>
        <w:t>, 1994</w:t>
      </w:r>
      <w:r w:rsidRPr="00B03D95">
        <w:rPr>
          <w:lang w:val="is-IS"/>
        </w:rPr>
        <w:t>.</w:t>
      </w:r>
    </w:p>
    <w:p w:rsidR="00D568EE" w:rsidRDefault="00D568EE" w:rsidP="00D568EE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</w:p>
    <w:p w:rsidR="00E87C87" w:rsidRDefault="00E74A8B" w:rsidP="00E74A8B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  <w:r>
        <w:rPr>
          <w:lang w:val="is-IS"/>
        </w:rPr>
        <w:t xml:space="preserve">-- </w:t>
      </w:r>
      <w:r w:rsidR="00E87C87">
        <w:rPr>
          <w:lang w:val="is-IS"/>
        </w:rPr>
        <w:t xml:space="preserve"> (E</w:t>
      </w:r>
      <w:r w:rsidR="00E87C87" w:rsidRPr="00B03D95">
        <w:rPr>
          <w:lang w:val="is-IS"/>
        </w:rPr>
        <w:t xml:space="preserve">d.) Kristján Eldjárn, </w:t>
      </w:r>
      <w:r w:rsidR="00E87C87" w:rsidRPr="00B03D95">
        <w:rPr>
          <w:i/>
          <w:iCs/>
          <w:lang w:val="is-IS"/>
        </w:rPr>
        <w:t>Kuml og haugfé,</w:t>
      </w:r>
      <w:r w:rsidR="00E87C87" w:rsidRPr="00B03D95">
        <w:rPr>
          <w:lang w:val="is-IS"/>
        </w:rPr>
        <w:t xml:space="preserve"> Reykjavík, </w:t>
      </w:r>
      <w:r>
        <w:rPr>
          <w:lang w:val="is-IS"/>
        </w:rPr>
        <w:t xml:space="preserve">2000, </w:t>
      </w:r>
      <w:r w:rsidR="00E87C87" w:rsidRPr="00B03D95">
        <w:rPr>
          <w:lang w:val="is-IS"/>
        </w:rPr>
        <w:t>Mál og menning.</w:t>
      </w:r>
    </w:p>
    <w:p w:rsidR="00E87C87" w:rsidRDefault="00E87C87" w:rsidP="00E87C87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  <w:r>
        <w:rPr>
          <w:lang w:val="is-IS"/>
        </w:rPr>
        <w:t xml:space="preserve">-- (Ed.) (with Jón K. Helgason, Þorleifur Hauksson), Íslensk menning (Icelandic Culture Series) 1999, 2001, 2004, 2007... </w:t>
      </w:r>
      <w:r w:rsidR="00D568EE">
        <w:rPr>
          <w:lang w:val="is-IS"/>
        </w:rPr>
        <w:t>Reykjavík: Hið íslenska bókmenntafélag.</w:t>
      </w:r>
      <w:r>
        <w:rPr>
          <w:lang w:val="is-IS"/>
        </w:rPr>
        <w:t xml:space="preserve"> </w:t>
      </w:r>
    </w:p>
    <w:p w:rsidR="00CE0366" w:rsidRDefault="00CE0366" w:rsidP="00E87C87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</w:p>
    <w:p w:rsidR="00CE0366" w:rsidRPr="00B03D95" w:rsidRDefault="00CE0366" w:rsidP="00E87C87">
      <w:pPr>
        <w:autoSpaceDE w:val="0"/>
        <w:autoSpaceDN w:val="0"/>
        <w:adjustRightInd w:val="0"/>
        <w:spacing w:afterLines="20" w:after="48" w:line="240" w:lineRule="auto"/>
        <w:contextualSpacing/>
        <w:rPr>
          <w:lang w:val="is-IS"/>
        </w:rPr>
      </w:pPr>
    </w:p>
    <w:p w:rsidR="00E87C87" w:rsidRDefault="00E87C87" w:rsidP="00E87C87">
      <w:pPr>
        <w:pStyle w:val="Heading2"/>
        <w:ind w:left="0" w:firstLine="0"/>
        <w:rPr>
          <w:lang w:val="en-GB"/>
        </w:rPr>
      </w:pPr>
      <w:r>
        <w:rPr>
          <w:lang w:val="en-GB"/>
        </w:rPr>
        <w:lastRenderedPageBreak/>
        <w:t>Book chapters</w:t>
      </w:r>
    </w:p>
    <w:p w:rsidR="00E87C87" w:rsidRDefault="00E87C87" w:rsidP="00D568EE">
      <w:pPr>
        <w:autoSpaceDE w:val="0"/>
        <w:adjustRightInd w:val="0"/>
        <w:spacing w:line="240" w:lineRule="auto"/>
      </w:pPr>
      <w:r>
        <w:t xml:space="preserve">Adolf Friðriksson, “Eftirmáli”, in Kristján Eldjárn, </w:t>
      </w:r>
      <w:r>
        <w:rPr>
          <w:i/>
          <w:iCs/>
        </w:rPr>
        <w:t>Vínlandsdagbókin</w:t>
      </w:r>
      <w:r>
        <w:t>, Reykjavík, Forlagið, 2012, pp. 125-159.</w:t>
      </w:r>
    </w:p>
    <w:p w:rsidR="00E74A8B" w:rsidRDefault="00E74A8B" w:rsidP="00E74A8B">
      <w:pPr>
        <w:autoSpaceDE w:val="0"/>
        <w:autoSpaceDN w:val="0"/>
        <w:adjustRightInd w:val="0"/>
        <w:spacing w:line="240" w:lineRule="auto"/>
        <w:rPr>
          <w:rFonts w:eastAsia="Arial Unicode MS"/>
          <w:szCs w:val="24"/>
          <w:lang w:val="is-IS" w:bidi="ar-SA"/>
        </w:rPr>
      </w:pPr>
      <w:r>
        <w:rPr>
          <w:rFonts w:eastAsia="Arial Unicode MS"/>
          <w:szCs w:val="24"/>
          <w:lang w:val="is-IS" w:bidi="ar-SA"/>
        </w:rPr>
        <w:t xml:space="preserve">--, Flugan og fornleifafundurinn. </w:t>
      </w:r>
      <w:r>
        <w:rPr>
          <w:rFonts w:eastAsia="Arial Unicode MS"/>
          <w:i/>
          <w:iCs/>
          <w:szCs w:val="24"/>
          <w:lang w:val="is-IS" w:bidi="ar-SA"/>
        </w:rPr>
        <w:t xml:space="preserve">Litlu-Núpar í Aðaldal. </w:t>
      </w:r>
      <w:r>
        <w:rPr>
          <w:rFonts w:eastAsia="Arial Unicode MS"/>
          <w:szCs w:val="24"/>
          <w:lang w:val="is-IS" w:bidi="ar-SA"/>
        </w:rPr>
        <w:t>Birna Lárusdóttir (ed.). Húsavík,</w:t>
      </w:r>
      <w:r w:rsidRPr="00E74A8B">
        <w:rPr>
          <w:rFonts w:eastAsia="Arial Unicode MS"/>
          <w:szCs w:val="24"/>
          <w:lang w:val="is-IS" w:bidi="ar-SA"/>
        </w:rPr>
        <w:t xml:space="preserve"> </w:t>
      </w:r>
      <w:r>
        <w:rPr>
          <w:rFonts w:eastAsia="Arial Unicode MS"/>
          <w:szCs w:val="24"/>
          <w:lang w:val="is-IS" w:bidi="ar-SA"/>
        </w:rPr>
        <w:t>2012, pp.</w:t>
      </w:r>
      <w:r>
        <w:rPr>
          <w:rFonts w:eastAsia="Arial Unicode MS"/>
          <w:b/>
          <w:bCs/>
          <w:szCs w:val="24"/>
          <w:lang w:val="is-IS" w:bidi="ar-SA"/>
        </w:rPr>
        <w:t xml:space="preserve"> </w:t>
      </w:r>
      <w:r>
        <w:rPr>
          <w:rFonts w:eastAsia="Arial Unicode MS"/>
          <w:szCs w:val="24"/>
          <w:lang w:val="is-IS" w:bidi="ar-SA"/>
        </w:rPr>
        <w:t>11-21.</w:t>
      </w:r>
    </w:p>
    <w:p w:rsidR="00E74A8B" w:rsidRDefault="00E74A8B" w:rsidP="00E74A8B">
      <w:pPr>
        <w:autoSpaceDE w:val="0"/>
        <w:autoSpaceDN w:val="0"/>
        <w:adjustRightInd w:val="0"/>
        <w:spacing w:line="240" w:lineRule="auto"/>
        <w:rPr>
          <w:rFonts w:eastAsia="Arial Unicode MS"/>
          <w:szCs w:val="24"/>
          <w:lang w:val="is-IS" w:bidi="ar-SA"/>
        </w:rPr>
      </w:pPr>
      <w:r>
        <w:rPr>
          <w:rFonts w:eastAsia="Arial Unicode MS"/>
          <w:szCs w:val="24"/>
          <w:lang w:val="is-IS" w:bidi="ar-SA"/>
        </w:rPr>
        <w:t xml:space="preserve">--, Haugbrot. </w:t>
      </w:r>
      <w:r>
        <w:rPr>
          <w:rFonts w:eastAsia="Arial Unicode MS"/>
          <w:i/>
          <w:iCs/>
          <w:szCs w:val="24"/>
          <w:lang w:val="is-IS" w:bidi="ar-SA"/>
        </w:rPr>
        <w:t xml:space="preserve">Litlu-Núpar í Aðaldal. </w:t>
      </w:r>
      <w:r>
        <w:rPr>
          <w:rFonts w:eastAsia="Arial Unicode MS"/>
          <w:szCs w:val="24"/>
          <w:lang w:val="is-IS" w:bidi="ar-SA"/>
        </w:rPr>
        <w:t>Birna Lárusdóttir (ed.), Húsavík, 2012, pp.</w:t>
      </w:r>
      <w:r>
        <w:rPr>
          <w:rFonts w:eastAsia="Arial Unicode MS"/>
          <w:b/>
          <w:bCs/>
          <w:szCs w:val="24"/>
          <w:lang w:val="is-IS" w:bidi="ar-SA"/>
        </w:rPr>
        <w:t xml:space="preserve"> </w:t>
      </w:r>
      <w:r>
        <w:rPr>
          <w:rFonts w:eastAsia="Arial Unicode MS"/>
          <w:szCs w:val="24"/>
          <w:lang w:val="is-IS" w:bidi="ar-SA"/>
        </w:rPr>
        <w:t>58-60.</w:t>
      </w:r>
    </w:p>
    <w:p w:rsidR="00E87C87" w:rsidRDefault="00D568EE" w:rsidP="00D568EE">
      <w:pPr>
        <w:autoSpaceDE w:val="0"/>
        <w:adjustRightInd w:val="0"/>
        <w:spacing w:line="240" w:lineRule="auto"/>
      </w:pPr>
      <w:r>
        <w:t>--</w:t>
      </w:r>
      <w:r w:rsidR="00E87C87">
        <w:t>, “Þing</w:t>
      </w:r>
      <w:r>
        <w:t>minjar”, in Birna Lárusdóttir (E</w:t>
      </w:r>
      <w:r w:rsidR="00E87C87">
        <w:t xml:space="preserve">d.), </w:t>
      </w:r>
      <w:r w:rsidR="00E87C87">
        <w:rPr>
          <w:i/>
          <w:iCs/>
        </w:rPr>
        <w:t>Mannvist</w:t>
      </w:r>
      <w:r w:rsidR="00E87C87">
        <w:t>, Reykjavík, Opna, 2011, pp. 344-357.</w:t>
      </w:r>
    </w:p>
    <w:p w:rsidR="00E87C87" w:rsidRDefault="00D568EE" w:rsidP="00D568EE">
      <w:pPr>
        <w:autoSpaceDE w:val="0"/>
        <w:adjustRightInd w:val="0"/>
        <w:spacing w:line="240" w:lineRule="auto"/>
      </w:pPr>
      <w:r>
        <w:t>--</w:t>
      </w:r>
      <w:r w:rsidR="00CE0366">
        <w:t xml:space="preserve">, </w:t>
      </w:r>
      <w:r w:rsidR="00E87C87">
        <w:t xml:space="preserve">“Steinnökkvinn”, in Orri Vésteinsson et al (eds.), </w:t>
      </w:r>
      <w:r w:rsidR="00E87C87">
        <w:rPr>
          <w:i/>
          <w:iCs/>
        </w:rPr>
        <w:t>Upp á yfirborðið</w:t>
      </w:r>
      <w:r w:rsidR="00E87C87">
        <w:t>, Reykjavík, Fornleifastofnun Íslands, 2010, pp. 26-29.</w:t>
      </w:r>
    </w:p>
    <w:p w:rsidR="00D568EE" w:rsidRDefault="00D568EE" w:rsidP="00D568EE">
      <w:pPr>
        <w:autoSpaceDE w:val="0"/>
        <w:adjustRightInd w:val="0"/>
        <w:spacing w:line="240" w:lineRule="auto"/>
      </w:pPr>
      <w:r>
        <w:t xml:space="preserve">--, “Haugar og heiðni: minjar un íslenskt járnaldarsamfélag”, in Árni Björnsson &amp; Hrefna Róbertsdóttir (eds.), </w:t>
      </w:r>
      <w:r>
        <w:rPr>
          <w:i/>
          <w:iCs/>
        </w:rPr>
        <w:t>Hlutavelta tímans. Menningararfur á Þjóðminjasafni</w:t>
      </w:r>
      <w:r>
        <w:t>, Reykjavík, Þjóðminjasafn Íslands, 2004, pp. [56]-63.</w:t>
      </w:r>
    </w:p>
    <w:p w:rsidR="00D568EE" w:rsidRDefault="00D568EE" w:rsidP="00D568EE">
      <w:pPr>
        <w:autoSpaceDE w:val="0"/>
        <w:adjustRightInd w:val="0"/>
        <w:spacing w:line="240" w:lineRule="auto"/>
      </w:pPr>
      <w:r>
        <w:t xml:space="preserve">--, “Viking Burial Practices in Iceland”, In </w:t>
      </w:r>
      <w:r>
        <w:rPr>
          <w:i/>
          <w:iCs/>
        </w:rPr>
        <w:t>Kuml og haugfé</w:t>
      </w:r>
      <w:r>
        <w:t>, Reykjavík, Mál og menning, 2000, pp. 549-610.</w:t>
      </w:r>
    </w:p>
    <w:p w:rsidR="00D568EE" w:rsidRDefault="00D568EE" w:rsidP="00D568EE">
      <w:pPr>
        <w:autoSpaceDE w:val="0"/>
        <w:adjustRightInd w:val="0"/>
        <w:spacing w:line="240" w:lineRule="auto"/>
      </w:pPr>
    </w:p>
    <w:p w:rsidR="00D568EE" w:rsidRDefault="00D568EE" w:rsidP="00D568EE">
      <w:pPr>
        <w:autoSpaceDE w:val="0"/>
        <w:adjustRightInd w:val="0"/>
        <w:spacing w:line="240" w:lineRule="auto"/>
      </w:pPr>
      <w:r>
        <w:t xml:space="preserve">-- &amp; Gavin Lucas,  “Fornleifastofnun Íslands og hlutverk fornleifafræðinnar í samtímanum”, in  </w:t>
      </w:r>
      <w:r>
        <w:rPr>
          <w:i/>
          <w:iCs/>
        </w:rPr>
        <w:t>Upp á yfirborðið</w:t>
      </w:r>
      <w:r>
        <w:t>, Reykjavík, Fornleifastofnun Íslands, 2010, pp. 11-21.</w:t>
      </w:r>
    </w:p>
    <w:p w:rsidR="00E87C87" w:rsidRDefault="00D568EE" w:rsidP="00D568EE">
      <w:pPr>
        <w:autoSpaceDE w:val="0"/>
        <w:adjustRightInd w:val="0"/>
        <w:spacing w:line="240" w:lineRule="auto"/>
      </w:pPr>
      <w:r>
        <w:t xml:space="preserve">-- &amp; Gavin Lucas, </w:t>
      </w:r>
      <w:r w:rsidR="00E87C87">
        <w:t xml:space="preserve">“Introduction”, in Gavin Lucas (ed.), </w:t>
      </w:r>
      <w:r w:rsidR="00E87C87">
        <w:rPr>
          <w:i/>
          <w:iCs/>
        </w:rPr>
        <w:t>Hofstaðir. Excavations of a Viking Age Feasting Hall in North-Eastern Iceland</w:t>
      </w:r>
      <w:r w:rsidR="00E87C87">
        <w:t>, Reykjavík, Fornleifastofnun Íslands, Institute of Archaeology Monograph Series 1, 2009, pp. 1-25.</w:t>
      </w:r>
    </w:p>
    <w:p w:rsidR="00D568EE" w:rsidRDefault="00D568EE" w:rsidP="00D568EE">
      <w:pPr>
        <w:autoSpaceDE w:val="0"/>
        <w:adjustRightInd w:val="0"/>
        <w:spacing w:line="240" w:lineRule="auto"/>
      </w:pPr>
    </w:p>
    <w:p w:rsidR="00E87C87" w:rsidRDefault="00D568EE" w:rsidP="00D568EE">
      <w:pPr>
        <w:autoSpaceDE w:val="0"/>
        <w:adjustRightInd w:val="0"/>
        <w:spacing w:line="240" w:lineRule="auto"/>
      </w:pPr>
      <w:r>
        <w:t xml:space="preserve">--  &amp; </w:t>
      </w:r>
      <w:r w:rsidR="00E87C87">
        <w:t xml:space="preserve">Orri Vésteinsson,  “Creating a Past. A Historiography of the Settlement of Iceland”, in James H. Barrett (ed.), </w:t>
      </w:r>
      <w:r w:rsidR="00E87C87" w:rsidRPr="00D568EE">
        <w:rPr>
          <w:i/>
          <w:iCs/>
        </w:rPr>
        <w:t>Contact, Continuity and Collapse: The Norse Colonization of the North Atlantic</w:t>
      </w:r>
      <w:r w:rsidR="00E87C87">
        <w:t>, Brepols Publishers, (Studies in the Early Middle Ages 5, 2003, pp. 139-161.</w:t>
      </w:r>
    </w:p>
    <w:p w:rsidR="00E87C87" w:rsidRDefault="00E87C87" w:rsidP="00E87C87">
      <w:pPr>
        <w:pStyle w:val="Heading2"/>
        <w:ind w:left="0" w:firstLine="0"/>
        <w:rPr>
          <w:lang w:val="en-GB"/>
        </w:rPr>
      </w:pPr>
      <w:r>
        <w:rPr>
          <w:lang w:val="en-GB"/>
        </w:rPr>
        <w:t>Academic articles</w:t>
      </w:r>
    </w:p>
    <w:p w:rsidR="00D568EE" w:rsidRDefault="00E87C87" w:rsidP="00D568EE">
      <w:pPr>
        <w:autoSpaceDE w:val="0"/>
        <w:adjustRightInd w:val="0"/>
        <w:spacing w:line="240" w:lineRule="auto"/>
        <w:rPr>
          <w:i/>
        </w:rPr>
      </w:pPr>
      <w:r>
        <w:t xml:space="preserve">Adolf Friðriksson,  </w:t>
      </w:r>
      <w:r w:rsidR="00D568EE">
        <w:t xml:space="preserve">Kumlin í Saltvík. </w:t>
      </w:r>
      <w:r w:rsidR="00D568EE">
        <w:rPr>
          <w:i/>
        </w:rPr>
        <w:t xml:space="preserve">Árbók hins íslenska fornleifafélags </w:t>
      </w:r>
      <w:r w:rsidR="00CE0366">
        <w:t>2013.</w:t>
      </w:r>
    </w:p>
    <w:p w:rsidR="00E87C87" w:rsidRDefault="00E74A8B" w:rsidP="00D568EE">
      <w:pPr>
        <w:autoSpaceDE w:val="0"/>
        <w:adjustRightInd w:val="0"/>
        <w:spacing w:line="240" w:lineRule="auto"/>
      </w:pPr>
      <w:r>
        <w:t xml:space="preserve">--, </w:t>
      </w:r>
      <w:r w:rsidR="00E87C87">
        <w:t xml:space="preserve">“Haugarnir í Hringsdal”, </w:t>
      </w:r>
      <w:r w:rsidR="00E87C87">
        <w:rPr>
          <w:i/>
          <w:iCs/>
        </w:rPr>
        <w:t>Árbók Barðastrandarsýslu</w:t>
      </w:r>
      <w:r w:rsidR="00E87C87">
        <w:t xml:space="preserve">, XXIII, 2012, pp. 60-69. </w:t>
      </w:r>
    </w:p>
    <w:p w:rsidR="00E74A8B" w:rsidRDefault="00E74A8B" w:rsidP="00E74A8B">
      <w:pPr>
        <w:autoSpaceDE w:val="0"/>
        <w:adjustRightInd w:val="0"/>
        <w:spacing w:line="240" w:lineRule="auto"/>
      </w:pPr>
      <w:r>
        <w:t xml:space="preserve">--, “Social and symbolic landscapes in late Iron Age Iceland”, </w:t>
      </w:r>
      <w:r>
        <w:rPr>
          <w:i/>
          <w:iCs/>
        </w:rPr>
        <w:t>Archaeologia Islandica</w:t>
      </w:r>
      <w:r>
        <w:t xml:space="preserve">, 7, 2009, pp. 9-21. </w:t>
      </w:r>
    </w:p>
    <w:p w:rsidR="00E74A8B" w:rsidRPr="00941975" w:rsidRDefault="00E74A8B" w:rsidP="00E74A8B">
      <w:pPr>
        <w:autoSpaceDE w:val="0"/>
        <w:adjustRightInd w:val="0"/>
        <w:spacing w:line="240" w:lineRule="auto"/>
      </w:pPr>
      <w:r>
        <w:t xml:space="preserve">--, “The Topography of Iron-age Burials in Iceland”, in Garðar Guðmundsson (ed.), </w:t>
      </w:r>
      <w:r>
        <w:rPr>
          <w:i/>
          <w:iCs/>
        </w:rPr>
        <w:t>Current issues in Nordic Archaeology.Proceedings of the 21st Conference of</w:t>
      </w:r>
      <w:r w:rsidR="00CE0366">
        <w:rPr>
          <w:i/>
          <w:iCs/>
        </w:rPr>
        <w:t xml:space="preserve"> </w:t>
      </w:r>
      <w:r>
        <w:rPr>
          <w:i/>
          <w:iCs/>
        </w:rPr>
        <w:t>Nordic Archaeologists 2001, Akureyri, Iceland</w:t>
      </w:r>
      <w:r>
        <w:t>, Reykjavík, Soc. of Icelandic Archaeologists, 2004, pp. 15-16.</w:t>
      </w:r>
    </w:p>
    <w:p w:rsidR="00E74A8B" w:rsidRDefault="00E74A8B" w:rsidP="00E74A8B">
      <w:pPr>
        <w:tabs>
          <w:tab w:val="left" w:pos="7421"/>
        </w:tabs>
        <w:autoSpaceDE w:val="0"/>
        <w:adjustRightInd w:val="0"/>
        <w:spacing w:line="240" w:lineRule="auto"/>
      </w:pPr>
    </w:p>
    <w:p w:rsidR="00E87C87" w:rsidRDefault="00E74A8B" w:rsidP="00E74A8B">
      <w:pPr>
        <w:autoSpaceDE w:val="0"/>
        <w:adjustRightInd w:val="0"/>
        <w:spacing w:line="240" w:lineRule="auto"/>
      </w:pPr>
      <w:r>
        <w:t xml:space="preserve">-- with </w:t>
      </w:r>
      <w:r w:rsidR="00E87C87">
        <w:t>McGovern T H</w:t>
      </w:r>
      <w:r>
        <w:t xml:space="preserve"> et al, </w:t>
      </w:r>
      <w:r w:rsidR="00E87C87">
        <w:t xml:space="preserve">“Landscapes of settlement in northern Iceland: Historical Ecology of human impact and climate fluctuation on the millennial scale”, </w:t>
      </w:r>
      <w:r w:rsidR="00E87C87">
        <w:rPr>
          <w:i/>
          <w:iCs/>
        </w:rPr>
        <w:t xml:space="preserve"> American Anthropologist</w:t>
      </w:r>
      <w:r w:rsidR="00E87C87">
        <w:t>, 109, 1, 2007, pp. 27-51.</w:t>
      </w:r>
    </w:p>
    <w:p w:rsidR="00E74A8B" w:rsidRDefault="00E74A8B" w:rsidP="00E74A8B">
      <w:pPr>
        <w:autoSpaceDE w:val="0"/>
        <w:adjustRightInd w:val="0"/>
        <w:spacing w:line="240" w:lineRule="auto"/>
      </w:pPr>
    </w:p>
    <w:p w:rsidR="00E74A8B" w:rsidRDefault="00E74A8B" w:rsidP="00E74A8B">
      <w:pPr>
        <w:autoSpaceDE w:val="0"/>
        <w:adjustRightInd w:val="0"/>
        <w:spacing w:line="240" w:lineRule="auto"/>
      </w:pPr>
      <w:r>
        <w:t xml:space="preserve">-- &amp; Orri Vésteinsson, “Landscapes of burial: Contrasting the Pagan and Christian Paradigms of Burial in Viking Age and Medieval Iceland”, </w:t>
      </w:r>
      <w:r>
        <w:rPr>
          <w:i/>
          <w:iCs/>
        </w:rPr>
        <w:t>Archaeologia islandica</w:t>
      </w:r>
      <w:r>
        <w:t>, 9, 2011, pp. 50-64.</w:t>
      </w:r>
    </w:p>
    <w:p w:rsidR="00E87C87" w:rsidRDefault="00E74A8B" w:rsidP="00E74A8B">
      <w:pPr>
        <w:autoSpaceDE w:val="0"/>
        <w:adjustRightInd w:val="0"/>
        <w:spacing w:line="240" w:lineRule="auto"/>
      </w:pPr>
      <w:r>
        <w:t>-- &amp;</w:t>
      </w:r>
      <w:r w:rsidR="00E87C87">
        <w:t xml:space="preserve"> Orri Vésteinsson, “ Hofstaðir Revisited”, </w:t>
      </w:r>
      <w:r w:rsidR="00E87C87">
        <w:rPr>
          <w:i/>
          <w:iCs/>
        </w:rPr>
        <w:t>Norwegian Archaeological Review</w:t>
      </w:r>
      <w:r w:rsidR="00E87C87">
        <w:t>, XXX, 2, 1997, pp. 103-112.</w:t>
      </w:r>
    </w:p>
    <w:p w:rsidR="00E74A8B" w:rsidRDefault="00E74A8B" w:rsidP="00E74A8B">
      <w:pPr>
        <w:autoSpaceDE w:val="0"/>
        <w:adjustRightInd w:val="0"/>
        <w:spacing w:line="240" w:lineRule="auto"/>
      </w:pPr>
    </w:p>
    <w:p w:rsidR="006D5E56" w:rsidRDefault="00E74A8B" w:rsidP="00C557E1">
      <w:pPr>
        <w:autoSpaceDE w:val="0"/>
        <w:adjustRightInd w:val="0"/>
        <w:spacing w:line="240" w:lineRule="auto"/>
      </w:pPr>
      <w:r>
        <w:t>--, Orri Vésteinsson  et al.</w:t>
      </w:r>
      <w:r w:rsidR="00E87C87">
        <w:t xml:space="preserve">,  “Recent investigations at Hofstaðir, northern Iceland”, in R. A. and G. Coles Housley, Eds. (ed.), </w:t>
      </w:r>
      <w:r w:rsidR="00E87C87">
        <w:rPr>
          <w:i/>
          <w:iCs/>
        </w:rPr>
        <w:t>Atlantic Connections and Adaptations: Economies, environments and subsistence in lands bordering the North Atlantic. Symposia of the Association for Environmental Archaeology 21</w:t>
      </w:r>
      <w:r w:rsidR="00E87C87">
        <w:t>, Oxford, Oxbow Books, 2004, pp. 191-202.</w:t>
      </w:r>
    </w:p>
    <w:sectPr w:rsidR="006D5E56" w:rsidSect="00F659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C1" w:rsidRDefault="00AD22C1" w:rsidP="00237500">
      <w:pPr>
        <w:spacing w:line="240" w:lineRule="auto"/>
      </w:pPr>
      <w:r>
        <w:separator/>
      </w:r>
    </w:p>
  </w:endnote>
  <w:endnote w:type="continuationSeparator" w:id="0">
    <w:p w:rsidR="00AD22C1" w:rsidRDefault="00AD22C1" w:rsidP="00237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C1" w:rsidRDefault="00AD22C1" w:rsidP="00237500">
      <w:pPr>
        <w:spacing w:line="240" w:lineRule="auto"/>
      </w:pPr>
      <w:r>
        <w:separator/>
      </w:r>
    </w:p>
  </w:footnote>
  <w:footnote w:type="continuationSeparator" w:id="0">
    <w:p w:rsidR="00AD22C1" w:rsidRDefault="00AD22C1" w:rsidP="00237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67408"/>
      <w:docPartObj>
        <w:docPartGallery w:val="Page Numbers (Top of Page)"/>
        <w:docPartUnique/>
      </w:docPartObj>
    </w:sdtPr>
    <w:sdtEndPr/>
    <w:sdtContent>
      <w:p w:rsidR="00237500" w:rsidRDefault="00F145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500" w:rsidRDefault="00237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3DE2"/>
    <w:multiLevelType w:val="hybridMultilevel"/>
    <w:tmpl w:val="49CC9DF0"/>
    <w:lvl w:ilvl="0" w:tplc="0484A004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60D17"/>
    <w:multiLevelType w:val="hybridMultilevel"/>
    <w:tmpl w:val="9A52E908"/>
    <w:lvl w:ilvl="0" w:tplc="76B685E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787"/>
    <w:rsid w:val="00136C11"/>
    <w:rsid w:val="00141B96"/>
    <w:rsid w:val="00237500"/>
    <w:rsid w:val="00252F6A"/>
    <w:rsid w:val="002E1653"/>
    <w:rsid w:val="003F2A4A"/>
    <w:rsid w:val="005151C0"/>
    <w:rsid w:val="005B122F"/>
    <w:rsid w:val="005E71E4"/>
    <w:rsid w:val="006415B9"/>
    <w:rsid w:val="006D5E56"/>
    <w:rsid w:val="00712C22"/>
    <w:rsid w:val="007A23DE"/>
    <w:rsid w:val="00894787"/>
    <w:rsid w:val="008C0113"/>
    <w:rsid w:val="009562B0"/>
    <w:rsid w:val="00A52235"/>
    <w:rsid w:val="00A61BC5"/>
    <w:rsid w:val="00AD22C1"/>
    <w:rsid w:val="00B14147"/>
    <w:rsid w:val="00B26C48"/>
    <w:rsid w:val="00B36F45"/>
    <w:rsid w:val="00B96960"/>
    <w:rsid w:val="00C557E1"/>
    <w:rsid w:val="00CD75B7"/>
    <w:rsid w:val="00CE0366"/>
    <w:rsid w:val="00D01457"/>
    <w:rsid w:val="00D3418C"/>
    <w:rsid w:val="00D568EE"/>
    <w:rsid w:val="00D72E14"/>
    <w:rsid w:val="00E14D52"/>
    <w:rsid w:val="00E74A8B"/>
    <w:rsid w:val="00E87C87"/>
    <w:rsid w:val="00EC30E9"/>
    <w:rsid w:val="00F1456D"/>
    <w:rsid w:val="00F328C3"/>
    <w:rsid w:val="00F659E0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F0FBB-8B5D-4A50-A2B2-BC94A810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Calibr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87"/>
    <w:pPr>
      <w:spacing w:line="360" w:lineRule="auto"/>
    </w:pPr>
    <w:rPr>
      <w:rFonts w:eastAsia="Times New Roman" w:cs="Times New Roman"/>
      <w:szCs w:val="22"/>
      <w:lang w:val="en-US" w:bidi="en-US"/>
    </w:rPr>
  </w:style>
  <w:style w:type="paragraph" w:styleId="Heading1">
    <w:name w:val="heading 1"/>
    <w:basedOn w:val="Standard"/>
    <w:next w:val="Textbody"/>
    <w:link w:val="Heading1Char"/>
    <w:uiPriority w:val="9"/>
    <w:qFormat/>
    <w:rsid w:val="00D72E14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787"/>
    <w:pPr>
      <w:numPr>
        <w:numId w:val="1"/>
      </w:numPr>
      <w:pBdr>
        <w:bottom w:val="single" w:sz="8" w:space="1" w:color="94B6D2"/>
      </w:pBdr>
      <w:spacing w:before="200" w:after="80"/>
      <w:outlineLvl w:val="1"/>
    </w:pPr>
    <w:rPr>
      <w:rFonts w:ascii="Cambria" w:hAnsi="Cambria"/>
      <w:color w:val="548AB7"/>
      <w:szCs w:val="24"/>
    </w:rPr>
  </w:style>
  <w:style w:type="paragraph" w:styleId="Heading3">
    <w:name w:val="heading 3"/>
    <w:basedOn w:val="Standard"/>
    <w:next w:val="Textbody"/>
    <w:link w:val="Heading3Char"/>
    <w:rsid w:val="00D72E14"/>
    <w:pPr>
      <w:keepNext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E14"/>
  </w:style>
  <w:style w:type="character" w:customStyle="1" w:styleId="Heading3Char">
    <w:name w:val="Heading 3 Char"/>
    <w:basedOn w:val="DefaultParagraphFont"/>
    <w:link w:val="Heading3"/>
    <w:rsid w:val="00D72E14"/>
  </w:style>
  <w:style w:type="paragraph" w:styleId="FootnoteText">
    <w:name w:val="footnote text"/>
    <w:basedOn w:val="Standard"/>
    <w:link w:val="FootnoteTextChar"/>
    <w:rsid w:val="00D72E14"/>
  </w:style>
  <w:style w:type="character" w:customStyle="1" w:styleId="FootnoteTextChar">
    <w:name w:val="Footnote Text Char"/>
    <w:basedOn w:val="DefaultParagraphFont"/>
    <w:link w:val="FootnoteText"/>
    <w:rsid w:val="00D72E14"/>
  </w:style>
  <w:style w:type="paragraph" w:styleId="Caption">
    <w:name w:val="caption"/>
    <w:basedOn w:val="Standard"/>
    <w:rsid w:val="00D72E14"/>
  </w:style>
  <w:style w:type="character" w:styleId="FootnoteReference">
    <w:name w:val="footnote reference"/>
    <w:basedOn w:val="FootnoteTextChar"/>
    <w:rsid w:val="00D72E14"/>
    <w:rPr>
      <w:vertAlign w:val="superscript"/>
    </w:rPr>
  </w:style>
  <w:style w:type="paragraph" w:styleId="List">
    <w:name w:val="List"/>
    <w:basedOn w:val="Textbody"/>
    <w:rsid w:val="00D72E14"/>
  </w:style>
  <w:style w:type="character" w:styleId="Emphasis">
    <w:name w:val="Emphasis"/>
    <w:basedOn w:val="DefaultParagraphFont"/>
    <w:uiPriority w:val="20"/>
    <w:qFormat/>
    <w:rsid w:val="00D72E14"/>
    <w:rPr>
      <w:i/>
      <w:iCs/>
    </w:rPr>
  </w:style>
  <w:style w:type="paragraph" w:styleId="NoSpacing">
    <w:name w:val="No Spacing"/>
    <w:rsid w:val="00D72E14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Standard">
    <w:name w:val="Standard"/>
    <w:rsid w:val="00D72E14"/>
    <w:pPr>
      <w:suppressAutoHyphens/>
      <w:autoSpaceDN w:val="0"/>
      <w:textAlignment w:val="baseline"/>
    </w:pPr>
    <w:rPr>
      <w:kern w:val="3"/>
      <w:lang w:val="en-GB" w:eastAsia="en-GB"/>
    </w:rPr>
  </w:style>
  <w:style w:type="paragraph" w:customStyle="1" w:styleId="Heading">
    <w:name w:val="Heading"/>
    <w:basedOn w:val="Standard"/>
    <w:next w:val="Textbody"/>
    <w:rsid w:val="00D72E1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D72E14"/>
    <w:pPr>
      <w:spacing w:after="120"/>
    </w:pPr>
  </w:style>
  <w:style w:type="paragraph" w:customStyle="1" w:styleId="Index">
    <w:name w:val="Index"/>
    <w:basedOn w:val="Standard"/>
    <w:rsid w:val="00D72E14"/>
    <w:pPr>
      <w:suppressLineNumbers/>
    </w:pPr>
  </w:style>
  <w:style w:type="character" w:customStyle="1" w:styleId="reference-text">
    <w:name w:val="reference-text"/>
    <w:basedOn w:val="DefaultParagraphFont"/>
    <w:rsid w:val="00D72E14"/>
  </w:style>
  <w:style w:type="character" w:customStyle="1" w:styleId="citation">
    <w:name w:val="citation"/>
    <w:basedOn w:val="DefaultParagraphFont"/>
    <w:rsid w:val="00D72E14"/>
  </w:style>
  <w:style w:type="character" w:customStyle="1" w:styleId="smallcaps">
    <w:name w:val="smallcaps"/>
    <w:basedOn w:val="DefaultParagraphFont"/>
    <w:rsid w:val="00D72E14"/>
  </w:style>
  <w:style w:type="character" w:customStyle="1" w:styleId="apple-converted-space">
    <w:name w:val="apple-converted-space"/>
    <w:basedOn w:val="DefaultParagraphFont"/>
    <w:rsid w:val="00D72E14"/>
  </w:style>
  <w:style w:type="character" w:customStyle="1" w:styleId="Internetlink">
    <w:name w:val="Internet link"/>
    <w:basedOn w:val="DefaultParagraphFont"/>
    <w:rsid w:val="00D72E14"/>
    <w:rPr>
      <w:color w:val="0000FF"/>
      <w:u w:val="single"/>
    </w:rPr>
  </w:style>
  <w:style w:type="paragraph" w:customStyle="1" w:styleId="footnoteref">
    <w:name w:val="footnote ref"/>
    <w:basedOn w:val="Standard"/>
    <w:rsid w:val="00D72E14"/>
  </w:style>
  <w:style w:type="table" w:styleId="TableGrid">
    <w:name w:val="Table Grid"/>
    <w:basedOn w:val="TableNormal"/>
    <w:uiPriority w:val="59"/>
    <w:rsid w:val="00D72E14"/>
    <w:pPr>
      <w:widowControl w:val="0"/>
      <w:suppressAutoHyphens/>
      <w:autoSpaceDN w:val="0"/>
      <w:textAlignment w:val="baseline"/>
    </w:pPr>
    <w:rPr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72E14"/>
  </w:style>
  <w:style w:type="character" w:customStyle="1" w:styleId="hps">
    <w:name w:val="hps"/>
    <w:basedOn w:val="DefaultParagraphFont"/>
    <w:rsid w:val="00D72E14"/>
  </w:style>
  <w:style w:type="paragraph" w:customStyle="1" w:styleId="Titill2">
    <w:name w:val="Titill2"/>
    <w:qFormat/>
    <w:rsid w:val="00E14D52"/>
    <w:rPr>
      <w:rFonts w:cs="Cambria"/>
      <w:bCs/>
      <w:kern w:val="24"/>
      <w:szCs w:val="22"/>
      <w:lang w:val="fr-F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94787"/>
    <w:rPr>
      <w:rFonts w:ascii="Cambria" w:eastAsia="Times New Roman" w:hAnsi="Cambria" w:cs="Times New Roman"/>
      <w:color w:val="548AB7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562B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41B96"/>
  </w:style>
  <w:style w:type="paragraph" w:styleId="ListParagraph">
    <w:name w:val="List Paragraph"/>
    <w:basedOn w:val="Normal"/>
    <w:uiPriority w:val="34"/>
    <w:qFormat/>
    <w:rsid w:val="00D56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5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00"/>
    <w:rPr>
      <w:rFonts w:eastAsia="Times New Roman" w:cs="Times New Roman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5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500"/>
    <w:rPr>
      <w:rFonts w:eastAsia="Times New Roman" w:cs="Times New Roman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lf@instarch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is-sorbonne.academia.edu/Departments/Etudes_germani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4CD1-3F5D-421C-9B08-B1443D6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B&amp;L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</dc:creator>
  <cp:lastModifiedBy>adolf fridriksson</cp:lastModifiedBy>
  <cp:revision>6</cp:revision>
  <dcterms:created xsi:type="dcterms:W3CDTF">2013-11-07T19:59:00Z</dcterms:created>
  <dcterms:modified xsi:type="dcterms:W3CDTF">2014-12-31T10:45:00Z</dcterms:modified>
</cp:coreProperties>
</file>