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F" w:rsidRDefault="00B52B0F"/>
    <w:tbl>
      <w:tblPr>
        <w:tblW w:w="0" w:type="auto"/>
        <w:tblLayout w:type="fixed"/>
        <w:tblLook w:val="0000"/>
      </w:tblPr>
      <w:tblGrid>
        <w:gridCol w:w="2376"/>
        <w:gridCol w:w="6344"/>
      </w:tblGrid>
      <w:tr w:rsidR="00B52B0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52B0F" w:rsidRPr="005B746E" w:rsidRDefault="00B52B0F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>
              <w:br w:type="column"/>
            </w:r>
            <w:r w:rsidRPr="005B746E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6344" w:type="dxa"/>
          </w:tcPr>
          <w:p w:rsidR="00B52B0F" w:rsidRDefault="00B52B0F">
            <w:pPr>
              <w:spacing w:before="60" w:after="60"/>
            </w:pPr>
            <w:r>
              <w:t>Dr. Alasdair D. Ross</w:t>
            </w:r>
          </w:p>
        </w:tc>
      </w:tr>
      <w:tr w:rsidR="00B52B0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52B0F" w:rsidRDefault="00B52B0F">
            <w:pPr>
              <w:spacing w:before="60" w:after="60"/>
              <w:rPr>
                <w:b/>
              </w:rPr>
            </w:pPr>
          </w:p>
        </w:tc>
        <w:tc>
          <w:tcPr>
            <w:tcW w:w="6344" w:type="dxa"/>
          </w:tcPr>
          <w:p w:rsidR="00B52B0F" w:rsidRDefault="00B52B0F">
            <w:pPr>
              <w:spacing w:before="60" w:after="60"/>
            </w:pPr>
          </w:p>
        </w:tc>
      </w:tr>
      <w:tr w:rsidR="00B52B0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52B0F" w:rsidRPr="005B746E" w:rsidRDefault="00B52B0F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5B746E">
              <w:rPr>
                <w:rFonts w:ascii="Tahoma" w:hAnsi="Tahoma" w:cs="Tahoma"/>
                <w:b/>
                <w:sz w:val="24"/>
                <w:szCs w:val="24"/>
              </w:rPr>
              <w:t>Current post</w:t>
            </w:r>
          </w:p>
        </w:tc>
        <w:tc>
          <w:tcPr>
            <w:tcW w:w="6344" w:type="dxa"/>
          </w:tcPr>
          <w:p w:rsidR="00B52B0F" w:rsidRDefault="00AB5B94">
            <w:pPr>
              <w:spacing w:before="60" w:after="60"/>
              <w:jc w:val="left"/>
            </w:pPr>
            <w:r>
              <w:t xml:space="preserve">Lecturer in Environmental and Medieval History, </w:t>
            </w:r>
            <w:r w:rsidR="005B746E">
              <w:t xml:space="preserve">Director of the Research centre for Environmental History and Policy, </w:t>
            </w:r>
            <w:r w:rsidR="001F3CE4">
              <w:t>School</w:t>
            </w:r>
            <w:r>
              <w:t xml:space="preserve"> of History</w:t>
            </w:r>
            <w:r w:rsidR="001F3CE4">
              <w:t xml:space="preserve"> and Politics</w:t>
            </w:r>
            <w:r w:rsidR="00B52B0F">
              <w:t>, University of Stirling</w:t>
            </w:r>
          </w:p>
        </w:tc>
      </w:tr>
    </w:tbl>
    <w:p w:rsidR="00B52B0F" w:rsidRDefault="00B52B0F"/>
    <w:p w:rsidR="00B52B0F" w:rsidRDefault="00B52B0F">
      <w:pPr>
        <w:pStyle w:val="Heading3"/>
      </w:pPr>
      <w:r>
        <w:t>Education</w:t>
      </w:r>
    </w:p>
    <w:p w:rsidR="00B52B0F" w:rsidRDefault="00B52B0F">
      <w:pPr>
        <w:spacing w:before="60" w:after="60"/>
        <w:jc w:val="left"/>
      </w:pPr>
      <w:proofErr w:type="gramStart"/>
      <w:r>
        <w:t>MA (joint honours in History and Celtic) 1st class, 1995-1999.</w:t>
      </w:r>
      <w:proofErr w:type="gramEnd"/>
      <w:r>
        <w:t xml:space="preserve"> </w:t>
      </w:r>
      <w:r>
        <w:br/>
      </w:r>
      <w:proofErr w:type="gramStart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Aberdeen</w:t>
          </w:r>
        </w:smartTag>
      </w:smartTag>
      <w:r>
        <w:t>.</w:t>
      </w:r>
      <w:proofErr w:type="gramEnd"/>
    </w:p>
    <w:p w:rsidR="005B746E" w:rsidRDefault="005B746E" w:rsidP="005B746E">
      <w:pPr>
        <w:jc w:val="left"/>
        <w:rPr>
          <w:bCs/>
        </w:rPr>
      </w:pPr>
      <w:r>
        <w:t xml:space="preserve">PhD, 1999-2002. Title: </w:t>
      </w:r>
      <w:r>
        <w:rPr>
          <w:bC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Province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Moray</w:t>
          </w:r>
        </w:smartTag>
      </w:smartTag>
      <w:r>
        <w:rPr>
          <w:bCs/>
        </w:rPr>
        <w:t xml:space="preserve">, </w:t>
      </w:r>
      <w:r>
        <w:rPr>
          <w:bCs/>
          <w:i/>
        </w:rPr>
        <w:t>c</w:t>
      </w:r>
      <w:r>
        <w:rPr>
          <w:bCs/>
        </w:rPr>
        <w:t xml:space="preserve">.1000-1230. </w:t>
      </w:r>
    </w:p>
    <w:p w:rsidR="005B746E" w:rsidRDefault="005B746E" w:rsidP="005B746E">
      <w:pPr>
        <w:jc w:val="left"/>
      </w:pPr>
      <w:r>
        <w:rPr>
          <w:bCs/>
        </w:rPr>
        <w:t>University of Aberdeen (fully funded SAAS).</w:t>
      </w:r>
    </w:p>
    <w:p w:rsidR="00D22C8E" w:rsidRDefault="00D22C8E">
      <w:pPr>
        <w:spacing w:before="60" w:after="60"/>
        <w:jc w:val="left"/>
      </w:pPr>
    </w:p>
    <w:p w:rsidR="00D22C8E" w:rsidRDefault="0028210E" w:rsidP="00D22C8E">
      <w:pPr>
        <w:pStyle w:val="Heading3"/>
      </w:pPr>
      <w:r>
        <w:t xml:space="preserve">Small </w:t>
      </w:r>
      <w:r w:rsidR="00D22C8E">
        <w:t>Grants Awarded</w:t>
      </w:r>
    </w:p>
    <w:p w:rsidR="00491BDC" w:rsidRDefault="001F3CE4" w:rsidP="00491BDC">
      <w:pPr>
        <w:spacing w:before="60" w:after="120"/>
      </w:pPr>
      <w:r>
        <w:t>The Strathmartine Trust, £1</w:t>
      </w:r>
      <w:r w:rsidR="00491BDC">
        <w:t>000 to pay for monograph illustrations (2008)</w:t>
      </w:r>
    </w:p>
    <w:p w:rsidR="00491BDC" w:rsidRDefault="00491BDC" w:rsidP="00491BDC">
      <w:pPr>
        <w:spacing w:before="60" w:after="120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Higher</w:t>
          </w:r>
        </w:smartTag>
        <w:r>
          <w:t xml:space="preserve"> </w:t>
        </w:r>
        <w:smartTag w:uri="urn:schemas-microsoft-com:office:smarttags" w:element="PlaceName">
          <w:r>
            <w:t>Education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>, £3000 for the development of an on-line essay writing skills module in Environmental History (2007)</w:t>
      </w:r>
    </w:p>
    <w:p w:rsidR="001F3CE4" w:rsidRDefault="001F3CE4" w:rsidP="00491BDC">
      <w:pPr>
        <w:spacing w:before="60" w:after="120"/>
      </w:pPr>
      <w:r>
        <w:t>Scottish Natural Heritage, £7000 to pay for research on historic British grasslands.</w:t>
      </w:r>
    </w:p>
    <w:p w:rsidR="00D22C8E" w:rsidRDefault="00D22C8E">
      <w:pPr>
        <w:spacing w:before="60" w:after="120"/>
      </w:pPr>
      <w:r>
        <w:t>The Strathmartine T</w:t>
      </w:r>
      <w:r w:rsidR="001D04AE">
        <w:t>rust, £2000 to pay for book</w:t>
      </w:r>
      <w:r>
        <w:t xml:space="preserve"> illustrations (2006)</w:t>
      </w:r>
    </w:p>
    <w:p w:rsidR="00D22C8E" w:rsidRDefault="00D22C8E">
      <w:pPr>
        <w:spacing w:before="60" w:after="120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Higher</w:t>
          </w:r>
        </w:smartTag>
        <w:r>
          <w:t xml:space="preserve"> </w:t>
        </w:r>
        <w:smartTag w:uri="urn:schemas-microsoft-com:office:smarttags" w:element="PlaceName">
          <w:r>
            <w:t>Education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>, £1250 towards conference expenses (2006)</w:t>
      </w:r>
    </w:p>
    <w:p w:rsidR="00122C9D" w:rsidRDefault="002759A3" w:rsidP="00122C9D">
      <w:pPr>
        <w:spacing w:before="120" w:after="120"/>
        <w:jc w:val="left"/>
        <w:rPr>
          <w:b/>
          <w:u w:val="single"/>
        </w:rPr>
      </w:pPr>
      <w:r>
        <w:rPr>
          <w:b/>
          <w:u w:val="single"/>
        </w:rPr>
        <w:t>2004</w:t>
      </w:r>
      <w:r w:rsidR="00122C9D">
        <w:rPr>
          <w:b/>
          <w:u w:val="single"/>
        </w:rPr>
        <w:t>-2007 (all University of Stirling)</w:t>
      </w:r>
    </w:p>
    <w:p w:rsidR="00122C9D" w:rsidRDefault="001F3CE4" w:rsidP="00122C9D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/>
        <w:ind w:left="284" w:hanging="284"/>
      </w:pPr>
      <w:r>
        <w:t>Lectur</w:t>
      </w:r>
      <w:r w:rsidR="00AB5B94">
        <w:t>er in</w:t>
      </w:r>
      <w:r w:rsidR="00122C9D">
        <w:t xml:space="preserve"> Environmental </w:t>
      </w:r>
      <w:r w:rsidR="00AB5B94">
        <w:t>and Medieval History, (October 2007</w:t>
      </w:r>
      <w:proofErr w:type="gramStart"/>
      <w:r w:rsidR="00122C9D">
        <w:t>-)</w:t>
      </w:r>
      <w:proofErr w:type="gramEnd"/>
      <w:r w:rsidR="00122C9D">
        <w:t>.</w:t>
      </w:r>
    </w:p>
    <w:p w:rsidR="00122C9D" w:rsidRDefault="00DC6FC7" w:rsidP="00122C9D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/>
        <w:ind w:left="284" w:hanging="284"/>
      </w:pPr>
      <w:r>
        <w:t xml:space="preserve">Post-doctoral </w:t>
      </w:r>
      <w:r w:rsidR="009925D8">
        <w:t>Research Assistant</w:t>
      </w:r>
      <w:r w:rsidR="00122C9D">
        <w:t xml:space="preserve"> in AHRC Research Centre for Environmental History and Poli</w:t>
      </w:r>
      <w:r>
        <w:t>cy, (September 2003-September 2007</w:t>
      </w:r>
      <w:r w:rsidR="00122C9D">
        <w:t>).</w:t>
      </w:r>
    </w:p>
    <w:p w:rsidR="00122C9D" w:rsidRDefault="002759A3" w:rsidP="00122C9D">
      <w:pPr>
        <w:spacing w:before="120" w:after="120"/>
        <w:jc w:val="left"/>
        <w:rPr>
          <w:b/>
          <w:u w:val="single"/>
        </w:rPr>
      </w:pPr>
      <w:r>
        <w:rPr>
          <w:b/>
          <w:u w:val="single"/>
        </w:rPr>
        <w:t>2003-2004</w:t>
      </w:r>
      <w:r w:rsidR="00122C9D">
        <w:rPr>
          <w:b/>
          <w:u w:val="single"/>
        </w:rPr>
        <w:t xml:space="preserve"> (University of Aberdeen)</w:t>
      </w:r>
    </w:p>
    <w:p w:rsidR="00122C9D" w:rsidRDefault="001F3CE4" w:rsidP="00122C9D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/>
        <w:ind w:left="284" w:hanging="284"/>
        <w:rPr>
          <w:b/>
          <w:u w:val="single"/>
        </w:rPr>
      </w:pPr>
      <w:r>
        <w:t>Dept. of Celtic, teaching fellow</w:t>
      </w:r>
      <w:r w:rsidR="00122C9D">
        <w:t xml:space="preserve"> (0.5 FTE). </w:t>
      </w:r>
    </w:p>
    <w:p w:rsidR="00122C9D" w:rsidRDefault="00122C9D" w:rsidP="00122C9D">
      <w:pPr>
        <w:jc w:val="left"/>
      </w:pPr>
    </w:p>
    <w:p w:rsidR="00B52B0F" w:rsidRDefault="00B52B0F">
      <w:pPr>
        <w:pStyle w:val="Heading3"/>
      </w:pPr>
      <w:r>
        <w:t>Recent Conference Papers</w:t>
      </w:r>
    </w:p>
    <w:p w:rsidR="001F3CE4" w:rsidRDefault="001F3CE4" w:rsidP="001F3CE4">
      <w:smartTag w:uri="urn:schemas-microsoft-com:office:smarttags" w:element="place">
        <w:smartTag w:uri="urn:schemas-microsoft-com:office:smarttags" w:element="City">
          <w:r>
            <w:t>Copenhagen</w:t>
          </w:r>
        </w:smartTag>
      </w:smartTag>
      <w:r>
        <w:t xml:space="preserve">, August 2009, First World Congress of Environmental History, </w:t>
      </w:r>
      <w:r>
        <w:rPr>
          <w:i/>
        </w:rPr>
        <w:t>Sustaining Historical Grazing Regimes in Scotland: Common Good versus Common Greed</w:t>
      </w:r>
      <w:r>
        <w:t xml:space="preserve"> (submitted and accepted for a panel including Professor Richard Oram and Dr Paul Adderley)</w:t>
      </w:r>
    </w:p>
    <w:p w:rsidR="001F3CE4" w:rsidRDefault="001F3CE4" w:rsidP="001F3CE4"/>
    <w:p w:rsidR="001F3CE4" w:rsidRDefault="001F3CE4" w:rsidP="001F3CE4">
      <w:proofErr w:type="gramStart"/>
      <w:r>
        <w:t xml:space="preserve">Groam House Museum Lecture, July 2009, </w:t>
      </w:r>
      <w:r>
        <w:rPr>
          <w:i/>
        </w:rPr>
        <w:t>Vernacular Buildings and Woodland Sustainability in 16</w:t>
      </w:r>
      <w:r w:rsidRPr="00E40955">
        <w:rPr>
          <w:i/>
          <w:vertAlign w:val="superscript"/>
        </w:rPr>
        <w:t>th</w:t>
      </w:r>
      <w:r>
        <w:rPr>
          <w:i/>
        </w:rPr>
        <w:t xml:space="preserve"> Century Scotland</w:t>
      </w:r>
      <w:r>
        <w:t xml:space="preserve"> (invited).</w:t>
      </w:r>
      <w:proofErr w:type="gramEnd"/>
    </w:p>
    <w:p w:rsidR="001F3CE4" w:rsidRPr="00E40955" w:rsidRDefault="001F3CE4" w:rsidP="001F3CE4"/>
    <w:p w:rsidR="001F3CE4" w:rsidRDefault="001F3CE4" w:rsidP="001F3CE4">
      <w:smartTag w:uri="urn:schemas-microsoft-com:office:smarttags" w:element="place">
        <w:smartTag w:uri="urn:schemas-microsoft-com:office:smarttags" w:element="City">
          <w:r>
            <w:t>Kalamazoo</w:t>
          </w:r>
        </w:smartTag>
      </w:smartTag>
      <w:r>
        <w:t>, 44</w:t>
      </w:r>
      <w:r w:rsidRPr="008540D3">
        <w:rPr>
          <w:vertAlign w:val="superscript"/>
        </w:rPr>
        <w:t>th</w:t>
      </w:r>
      <w:r>
        <w:t xml:space="preserve"> International Congress on Medieval Studies, May 2009, </w:t>
      </w:r>
      <w:r w:rsidRPr="00E40955">
        <w:rPr>
          <w:i/>
        </w:rPr>
        <w:t>Monkish Fishings and Damage to River Systems in Medieval Scotland</w:t>
      </w:r>
      <w:r>
        <w:t>, (submitted and accepted)</w:t>
      </w:r>
      <w:r w:rsidRPr="005E7026">
        <w:t>.</w:t>
      </w:r>
    </w:p>
    <w:p w:rsidR="008540D3" w:rsidRDefault="004316E6" w:rsidP="008540D3">
      <w:pPr>
        <w:spacing w:before="120"/>
      </w:pPr>
      <w:proofErr w:type="gramStart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 w:rsidR="008540D3">
            <w:t>Lancaster</w:t>
          </w:r>
        </w:smartTag>
      </w:smartTag>
      <w:r w:rsidR="008540D3">
        <w:t xml:space="preserve">, AHRC Sustaining the Commons Project, </w:t>
      </w:r>
      <w:r w:rsidR="005322E4">
        <w:t>‘</w:t>
      </w:r>
      <w:r w:rsidR="005322E4">
        <w:rPr>
          <w:i/>
        </w:rPr>
        <w:t>Sustainable Souming on Scottish Commonties</w:t>
      </w:r>
      <w:r w:rsidR="008540D3" w:rsidRPr="005322E4">
        <w:rPr>
          <w:i/>
        </w:rPr>
        <w:t>, 1400-1800</w:t>
      </w:r>
      <w:r w:rsidR="008540D3">
        <w:t>’, July, 2008 (invited).</w:t>
      </w:r>
      <w:proofErr w:type="gramEnd"/>
    </w:p>
    <w:p w:rsidR="008540D3" w:rsidRDefault="004316E6" w:rsidP="008540D3">
      <w:pPr>
        <w:spacing w:before="1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 w:rsidR="008540D3">
            <w:t>Reading</w:t>
          </w:r>
        </w:smartTag>
      </w:smartTag>
      <w:r w:rsidR="008540D3">
        <w:t xml:space="preserve">, Early Modern </w:t>
      </w:r>
      <w:r w:rsidR="005322E4">
        <w:t xml:space="preserve">Environmental History </w:t>
      </w:r>
      <w:r w:rsidR="008540D3">
        <w:t>Research Group, ‘</w:t>
      </w:r>
      <w:r w:rsidR="008540D3" w:rsidRPr="005322E4">
        <w:rPr>
          <w:i/>
        </w:rPr>
        <w:t>What Happened When Improvement Failed?</w:t>
      </w:r>
      <w:proofErr w:type="gramStart"/>
      <w:r w:rsidR="008540D3">
        <w:t>’,</w:t>
      </w:r>
      <w:proofErr w:type="gramEnd"/>
      <w:r w:rsidR="008540D3">
        <w:t xml:space="preserve"> June 2008 (invited).</w:t>
      </w:r>
    </w:p>
    <w:p w:rsidR="00D861D9" w:rsidRDefault="00D861D9" w:rsidP="008540D3">
      <w:pPr>
        <w:spacing w:before="120"/>
      </w:pPr>
      <w:r w:rsidRPr="009B13FB">
        <w:t xml:space="preserve">Edinburgh, </w:t>
      </w:r>
      <w:r w:rsidR="009B13FB" w:rsidRPr="009B13FB">
        <w:t>Medieval Settlement Research Group and AHRC sponsored workshop</w:t>
      </w:r>
      <w:r w:rsidR="009B13FB">
        <w:t xml:space="preserve"> entitled, ‘Perceptions of Medieval Landscapes and Settlement’, </w:t>
      </w:r>
      <w:r>
        <w:t xml:space="preserve">April 2007: </w:t>
      </w:r>
      <w:r w:rsidR="009B13FB" w:rsidRPr="007E0372">
        <w:rPr>
          <w:bCs/>
          <w:i/>
          <w:lang w:val="en-US"/>
        </w:rPr>
        <w:t>Townships and managing forest resource in sixteenth-century S</w:t>
      </w:r>
      <w:r w:rsidR="009848A1">
        <w:rPr>
          <w:bCs/>
          <w:i/>
          <w:lang w:val="en-US"/>
        </w:rPr>
        <w:t>cotland</w:t>
      </w:r>
      <w:r w:rsidR="009B13FB">
        <w:rPr>
          <w:bCs/>
          <w:lang w:val="en-US"/>
        </w:rPr>
        <w:t xml:space="preserve"> (invited).</w:t>
      </w:r>
    </w:p>
    <w:p w:rsidR="00247658" w:rsidRDefault="00D861D9">
      <w:pPr>
        <w:spacing w:before="120"/>
      </w:pPr>
      <w:smartTag w:uri="urn:schemas-microsoft-com:office:smarttags" w:element="place">
        <w:r>
          <w:lastRenderedPageBreak/>
          <w:t>Stirling</w:t>
        </w:r>
      </w:smartTag>
      <w:r>
        <w:t xml:space="preserve">, </w:t>
      </w:r>
      <w:r w:rsidR="009B13FB" w:rsidRPr="00D861D9">
        <w:rPr>
          <w:bCs/>
        </w:rPr>
        <w:t>Inexhaustible Abundance? Environmental History, Educators and Sustainable Development</w:t>
      </w:r>
      <w:r w:rsidR="009B13FB">
        <w:rPr>
          <w:bCs/>
        </w:rPr>
        <w:t>,</w:t>
      </w:r>
      <w:r w:rsidR="009B13FB">
        <w:t xml:space="preserve"> </w:t>
      </w:r>
      <w:r w:rsidR="007E0372">
        <w:t xml:space="preserve">April 2007: </w:t>
      </w:r>
      <w:r w:rsidRPr="007E0372">
        <w:rPr>
          <w:i/>
        </w:rPr>
        <w:t>The Cairngorm Uplands: a pristine wilderness or post-industrial wasteland?</w:t>
      </w:r>
      <w:r>
        <w:t xml:space="preserve"> (</w:t>
      </w:r>
      <w:proofErr w:type="gramStart"/>
      <w:r>
        <w:rPr>
          <w:bCs/>
        </w:rPr>
        <w:t>submitted</w:t>
      </w:r>
      <w:proofErr w:type="gramEnd"/>
      <w:r>
        <w:rPr>
          <w:bCs/>
        </w:rPr>
        <w:t xml:space="preserve"> and approved)</w:t>
      </w:r>
      <w:r w:rsidR="009B13FB">
        <w:rPr>
          <w:bCs/>
        </w:rPr>
        <w:t>.</w:t>
      </w:r>
    </w:p>
    <w:p w:rsidR="00D861D9" w:rsidRDefault="00D861D9">
      <w:pPr>
        <w:spacing w:before="120"/>
      </w:pPr>
    </w:p>
    <w:p w:rsidR="00B52B0F" w:rsidRDefault="00B52B0F">
      <w:pPr>
        <w:pStyle w:val="Heading3"/>
      </w:pPr>
      <w:r>
        <w:t>Publications</w:t>
      </w:r>
    </w:p>
    <w:p w:rsidR="009129CD" w:rsidRDefault="009129CD">
      <w:pPr>
        <w:rPr>
          <w:b/>
        </w:rPr>
      </w:pPr>
    </w:p>
    <w:p w:rsidR="00B52B0F" w:rsidRDefault="00C627C3">
      <w:pPr>
        <w:rPr>
          <w:b/>
        </w:rPr>
      </w:pPr>
      <w:r>
        <w:rPr>
          <w:b/>
        </w:rPr>
        <w:t>EDITED VOLUME</w:t>
      </w:r>
      <w:r w:rsidR="00B52B0F">
        <w:rPr>
          <w:b/>
        </w:rPr>
        <w:t>S</w:t>
      </w:r>
    </w:p>
    <w:p w:rsidR="004A0099" w:rsidRDefault="004A0099" w:rsidP="004A0099">
      <w:pPr>
        <w:spacing w:before="60" w:after="60"/>
      </w:pPr>
      <w:r>
        <w:rPr>
          <w:i/>
        </w:rPr>
        <w:t>Skye and Barra: Two Hebridean Perspectives</w:t>
      </w:r>
      <w:r>
        <w:t xml:space="preserve"> (Northern Studies, 2006), co-editor (with Arne Kruse).</w:t>
      </w:r>
    </w:p>
    <w:p w:rsidR="00B52B0F" w:rsidRDefault="00B52B0F">
      <w:proofErr w:type="gramStart"/>
      <w:r>
        <w:rPr>
          <w:i/>
        </w:rPr>
        <w:t xml:space="preserve">The Exercise of Power in Medieval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Scotland</w:t>
          </w:r>
        </w:smartTag>
      </w:smartTag>
      <w:r>
        <w:rPr>
          <w:i/>
        </w:rPr>
        <w:t>, c.1200-1500</w:t>
      </w:r>
      <w:r>
        <w:t xml:space="preserve"> (Four Courts Press, 2003), co-editor (with Stephen I. Boardman) and contributor.</w:t>
      </w:r>
      <w:proofErr w:type="gramEnd"/>
    </w:p>
    <w:p w:rsidR="009129CD" w:rsidRDefault="009129CD"/>
    <w:p w:rsidR="00B52B0F" w:rsidRDefault="00B52B0F">
      <w:pPr>
        <w:rPr>
          <w:b/>
        </w:rPr>
      </w:pPr>
      <w:r>
        <w:rPr>
          <w:b/>
        </w:rPr>
        <w:t>ARTICLES</w:t>
      </w:r>
    </w:p>
    <w:p w:rsidR="001F3CE4" w:rsidRDefault="001F3CE4" w:rsidP="00A83404">
      <w:pPr>
        <w:spacing w:before="120"/>
      </w:pPr>
      <w:r>
        <w:t xml:space="preserve">Scottish Natural Heritage Commissioned Report 313, </w:t>
      </w:r>
      <w:r>
        <w:rPr>
          <w:i/>
        </w:rPr>
        <w:t>Literature Review of the History of Grassland Management in Scotland</w:t>
      </w:r>
      <w:r>
        <w:t xml:space="preserve"> (2010): </w:t>
      </w:r>
      <w:hyperlink r:id="rId7" w:history="1">
        <w:r w:rsidRPr="00357627">
          <w:rPr>
            <w:rStyle w:val="Hyperlink"/>
          </w:rPr>
          <w:t>http://www.snh.org.uk/pdfs/publications/commissioned_reports/313.pdf</w:t>
        </w:r>
      </w:hyperlink>
    </w:p>
    <w:p w:rsidR="00A83404" w:rsidRPr="00A83404" w:rsidRDefault="00A83404" w:rsidP="00A83404">
      <w:pPr>
        <w:spacing w:before="120"/>
      </w:pPr>
      <w:r>
        <w:t xml:space="preserve">‘Economic Determinants of Biodiversity Change </w:t>
      </w:r>
      <w:proofErr w:type="gramStart"/>
      <w:r>
        <w:t>Over</w:t>
      </w:r>
      <w:proofErr w:type="gramEnd"/>
      <w:r>
        <w:t xml:space="preserve"> a 400 Year Period in the Scottish Uplands’, in </w:t>
      </w:r>
      <w:r>
        <w:rPr>
          <w:i/>
        </w:rPr>
        <w:t>The Journal of Applied Ecology</w:t>
      </w:r>
      <w:r>
        <w:t xml:space="preserve"> 45 (2008), 1557-1565 (co-authored).</w:t>
      </w:r>
    </w:p>
    <w:p w:rsidR="00760438" w:rsidRDefault="009417B2" w:rsidP="00A83404">
      <w:pPr>
        <w:spacing w:before="120"/>
      </w:pPr>
      <w:r>
        <w:t>'</w:t>
      </w:r>
      <w:smartTag w:uri="urn:schemas-microsoft-com:office:smarttags" w:element="City">
        <w:r w:rsidR="00760438" w:rsidRPr="002B05FD">
          <w:t>Moray</w:t>
        </w:r>
      </w:smartTag>
      <w:r>
        <w:t xml:space="preserve">, </w:t>
      </w:r>
      <w:smartTag w:uri="urn:schemas-microsoft-com:office:smarttags" w:element="country-region">
        <w:r>
          <w:t>Ulster</w:t>
        </w:r>
      </w:smartTag>
      <w:r>
        <w:t>, and the MacWilliams</w:t>
      </w:r>
      <w:r w:rsidR="00760438" w:rsidRPr="002B05FD">
        <w:t xml:space="preserve">', in Sean Duffy (editor), </w:t>
      </w:r>
      <w:r w:rsidR="00760438" w:rsidRPr="008B7EA3">
        <w:rPr>
          <w:i/>
        </w:rPr>
        <w:t>The Wo</w:t>
      </w:r>
      <w:r>
        <w:rPr>
          <w:i/>
        </w:rPr>
        <w:t xml:space="preserve">rld of the Galloglass: Kings, warlords and warriors in </w:t>
      </w:r>
      <w:smartTag w:uri="urn:schemas-microsoft-com:office:smarttags" w:element="country-region">
        <w:r>
          <w:rPr>
            <w:i/>
          </w:rPr>
          <w:t>Ireland</w:t>
        </w:r>
      </w:smartTag>
      <w:r>
        <w:rPr>
          <w:i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Scotland</w:t>
          </w:r>
        </w:smartTag>
      </w:smartTag>
      <w:r>
        <w:rPr>
          <w:i/>
        </w:rPr>
        <w:t>, 1200</w:t>
      </w:r>
      <w:r w:rsidR="00760438" w:rsidRPr="008B7EA3">
        <w:rPr>
          <w:i/>
        </w:rPr>
        <w:t>-1600</w:t>
      </w:r>
      <w:r w:rsidR="00760438">
        <w:t>, (F</w:t>
      </w:r>
      <w:r>
        <w:t>our Courts Press, 2007), 24-44</w:t>
      </w:r>
      <w:r w:rsidR="00760438">
        <w:t>.</w:t>
      </w:r>
    </w:p>
    <w:p w:rsidR="005E598C" w:rsidRPr="009E72FF" w:rsidRDefault="009E72FF" w:rsidP="007E6022">
      <w:pPr>
        <w:spacing w:before="60" w:after="60"/>
      </w:pPr>
      <w:r>
        <w:t>“The Identity of the ‘Prisoner of Roxburgh’: Malcolm son of Alexander or Malco</w:t>
      </w:r>
      <w:r w:rsidR="00E04244">
        <w:t>l</w:t>
      </w:r>
      <w:r>
        <w:t>m Macheth?</w:t>
      </w:r>
      <w:proofErr w:type="gramStart"/>
      <w:r>
        <w:t>”,</w:t>
      </w:r>
      <w:proofErr w:type="gramEnd"/>
      <w:r>
        <w:t xml:space="preserve"> in S. Arbuthnot and K. Hollo (editors), </w:t>
      </w:r>
      <w:r>
        <w:rPr>
          <w:i/>
        </w:rPr>
        <w:t>Fil s</w:t>
      </w:r>
      <w:r w:rsidRPr="009E72FF">
        <w:rPr>
          <w:i/>
        </w:rPr>
        <w:t>ú</w:t>
      </w:r>
      <w:r>
        <w:rPr>
          <w:i/>
        </w:rPr>
        <w:t xml:space="preserve">il nglais – A Grey Eye Looks Back: A Festschrift in honour of Colm </w:t>
      </w:r>
      <w:r w:rsidRPr="009E72FF">
        <w:rPr>
          <w:i/>
        </w:rPr>
        <w:t>Ó</w:t>
      </w:r>
      <w:r>
        <w:rPr>
          <w:i/>
        </w:rPr>
        <w:t xml:space="preserve"> Baoill</w:t>
      </w:r>
      <w:r>
        <w:t xml:space="preserve"> (</w:t>
      </w:r>
      <w:r w:rsidR="007D655A">
        <w:t xml:space="preserve">Ceann Drochaid, </w:t>
      </w:r>
      <w:r>
        <w:t>2007), 269-82.</w:t>
      </w:r>
    </w:p>
    <w:p w:rsidR="009E72FF" w:rsidRPr="009E72FF" w:rsidRDefault="009E72FF" w:rsidP="007E6022">
      <w:pPr>
        <w:spacing w:before="60" w:after="60"/>
      </w:pPr>
      <w:proofErr w:type="gramStart"/>
      <w:r>
        <w:t xml:space="preserve">‘Scottish Environmental History and the (mis)use of Soums’, in </w:t>
      </w:r>
      <w:r>
        <w:rPr>
          <w:i/>
        </w:rPr>
        <w:t>The Agricultural History Review</w:t>
      </w:r>
      <w:r>
        <w:t xml:space="preserve"> 54.2 (2006), 213-28.</w:t>
      </w:r>
      <w:proofErr w:type="gramEnd"/>
    </w:p>
    <w:p w:rsidR="005E598C" w:rsidRPr="005E598C" w:rsidRDefault="005E598C" w:rsidP="007E6022">
      <w:pPr>
        <w:spacing w:before="60" w:after="60"/>
      </w:pPr>
      <w:r>
        <w:t>‘The Bannatyne Club and the Publication of Scottish Ecclesiastical Cartularies’</w:t>
      </w:r>
      <w:r w:rsidR="009E72FF">
        <w:t>,</w:t>
      </w:r>
      <w:r>
        <w:t xml:space="preserve">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Scottish Historical Review</w:t>
      </w:r>
      <w:r w:rsidR="009E72FF">
        <w:t xml:space="preserve"> 85 (2006), 202-33.</w:t>
      </w:r>
    </w:p>
    <w:p w:rsidR="007E6022" w:rsidRDefault="007E6022" w:rsidP="007E6022">
      <w:pPr>
        <w:spacing w:before="60" w:after="60"/>
      </w:pPr>
      <w:r>
        <w:t xml:space="preserve">'The dabhach in Moray: a new look at an old tub', in Alex Woolf (editor), </w:t>
      </w:r>
      <w:r>
        <w:rPr>
          <w:i/>
        </w:rPr>
        <w:t>Landscape and Environment</w:t>
      </w:r>
      <w:r>
        <w:t>, St Johns House Papers No.11 (</w:t>
      </w:r>
      <w:smartTag w:uri="urn:schemas-microsoft-com:office:smarttags" w:element="place">
        <w:r>
          <w:t>St Andrews</w:t>
        </w:r>
      </w:smartTag>
      <w:r>
        <w:t>, 2006)</w:t>
      </w:r>
      <w:proofErr w:type="gramStart"/>
      <w:r>
        <w:t>,57</w:t>
      </w:r>
      <w:proofErr w:type="gramEnd"/>
      <w:r>
        <w:t>-74.</w:t>
      </w:r>
    </w:p>
    <w:p w:rsidR="002C4F90" w:rsidRDefault="002C4F90" w:rsidP="002C4F90">
      <w:pPr>
        <w:spacing w:before="60" w:after="60"/>
      </w:pPr>
      <w:proofErr w:type="gramStart"/>
      <w:r>
        <w:t>'</w:t>
      </w:r>
      <w:r>
        <w:rPr>
          <w:i/>
        </w:rPr>
        <w:t>Transhumance in Stratha'an during the early-modern period</w:t>
      </w:r>
      <w:r>
        <w:t>', Report No.3, AHRC Research Centre for Environmental History, (</w:t>
      </w:r>
      <w:smartTag w:uri="urn:schemas-microsoft-com:office:smarttags" w:element="place">
        <w:r>
          <w:t>Stirling</w:t>
        </w:r>
      </w:smartTag>
      <w:r>
        <w:t>, 2005).</w:t>
      </w:r>
      <w:proofErr w:type="gramEnd"/>
    </w:p>
    <w:p w:rsidR="00B52B0F" w:rsidRDefault="005E598C" w:rsidP="002C4F90">
      <w:pPr>
        <w:spacing w:before="60" w:after="60"/>
      </w:pPr>
      <w:proofErr w:type="gramStart"/>
      <w:r>
        <w:t>‘</w:t>
      </w:r>
      <w:r w:rsidR="00B52B0F">
        <w:t>The l</w:t>
      </w:r>
      <w:r>
        <w:t>ords and lordship of Glencarnie’</w:t>
      </w:r>
      <w:r w:rsidR="00B52B0F">
        <w:t xml:space="preserve">, in Stephen I. Boardman and Alasdair D. Ross (editors), </w:t>
      </w:r>
      <w:r w:rsidR="00B52B0F">
        <w:rPr>
          <w:i/>
        </w:rPr>
        <w:t>Native Kindreds</w:t>
      </w:r>
      <w:r w:rsidR="00B52B0F">
        <w:t xml:space="preserve"> (Four Courts Press, 2003), 159-74.</w:t>
      </w:r>
      <w:proofErr w:type="gramEnd"/>
    </w:p>
    <w:p w:rsidR="00B52B0F" w:rsidRDefault="005E598C">
      <w:pPr>
        <w:spacing w:before="60" w:after="60"/>
      </w:pPr>
      <w:r>
        <w:t>‘The Parentage of St Kentigern’</w:t>
      </w:r>
      <w:r w:rsidR="00B52B0F">
        <w:t xml:space="preserve">, in Colm Ó Baoill and Nancy MacGuire (editors), </w:t>
      </w:r>
      <w:r w:rsidR="00B52B0F">
        <w:rPr>
          <w:i/>
        </w:rPr>
        <w:t xml:space="preserve">Rannsachadh </w:t>
      </w:r>
      <w:proofErr w:type="gramStart"/>
      <w:r w:rsidR="00B52B0F">
        <w:rPr>
          <w:i/>
        </w:rPr>
        <w:t>na</w:t>
      </w:r>
      <w:proofErr w:type="gramEnd"/>
      <w:r w:rsidR="00B52B0F">
        <w:rPr>
          <w:i/>
        </w:rPr>
        <w:t xml:space="preserve"> Gáidhlig 2000</w:t>
      </w:r>
      <w:r w:rsidR="00B52B0F">
        <w:t xml:space="preserve"> (</w:t>
      </w:r>
      <w:smartTag w:uri="urn:schemas-microsoft-com:office:smarttags" w:element="place">
        <w:smartTag w:uri="urn:schemas-microsoft-com:office:smarttags" w:element="City">
          <w:r w:rsidR="00B52B0F">
            <w:t>Aberdeen</w:t>
          </w:r>
        </w:smartTag>
      </w:smartTag>
      <w:r w:rsidR="00B52B0F">
        <w:t>, 2002), 213-220.</w:t>
      </w:r>
    </w:p>
    <w:p w:rsidR="00B52B0F" w:rsidRDefault="005E598C">
      <w:pPr>
        <w:spacing w:before="60" w:after="60"/>
      </w:pPr>
      <w:proofErr w:type="gramStart"/>
      <w:r>
        <w:t>‘</w:t>
      </w:r>
      <w:r w:rsidR="00B52B0F">
        <w:t>Men for all seasons?</w:t>
      </w:r>
      <w:proofErr w:type="gramEnd"/>
      <w:r w:rsidR="00B52B0F">
        <w:t xml:space="preserve"> The Strathbogie earls of Atholl and the wars of independence, c.129</w:t>
      </w:r>
      <w:r>
        <w:t>0-c.1335: Part 2: Earl David IV’</w:t>
      </w:r>
      <w:r w:rsidR="00B52B0F">
        <w:t xml:space="preserve">, in </w:t>
      </w:r>
      <w:smartTag w:uri="urn:schemas-microsoft-com:office:smarttags" w:element="place">
        <w:r w:rsidR="00B52B0F">
          <w:rPr>
            <w:i/>
          </w:rPr>
          <w:t>Northern Scotland</w:t>
        </w:r>
      </w:smartTag>
      <w:r w:rsidR="00B52B0F">
        <w:t xml:space="preserve"> 21 (2001), 1-15.</w:t>
      </w:r>
    </w:p>
    <w:p w:rsidR="00B52B0F" w:rsidRDefault="005E598C">
      <w:pPr>
        <w:spacing w:before="60" w:after="60"/>
      </w:pPr>
      <w:proofErr w:type="gramStart"/>
      <w:r>
        <w:t>‘</w:t>
      </w:r>
      <w:r w:rsidR="00B52B0F">
        <w:t>Men for all seasons?</w:t>
      </w:r>
      <w:proofErr w:type="gramEnd"/>
      <w:r w:rsidR="00B52B0F">
        <w:t xml:space="preserve"> The Strathbogie earls of Atholl and the wars of independence, c.1290-c.1335: Part </w:t>
      </w:r>
      <w:r>
        <w:t>1: Earl John and Earl David III’</w:t>
      </w:r>
      <w:r w:rsidR="00B52B0F">
        <w:t xml:space="preserve">, in </w:t>
      </w:r>
      <w:smartTag w:uri="urn:schemas-microsoft-com:office:smarttags" w:element="place">
        <w:r w:rsidR="00B52B0F">
          <w:rPr>
            <w:i/>
          </w:rPr>
          <w:t>Northern Scotland</w:t>
        </w:r>
      </w:smartTag>
      <w:r w:rsidR="00B52B0F">
        <w:t xml:space="preserve"> 20 (2000), 1-30.</w:t>
      </w:r>
    </w:p>
    <w:p w:rsidR="00B52B0F" w:rsidRDefault="005E598C">
      <w:pPr>
        <w:spacing w:before="60" w:after="60"/>
      </w:pPr>
      <w:r>
        <w:t xml:space="preserve">‘Pictish </w:t>
      </w:r>
      <w:proofErr w:type="gramStart"/>
      <w:r>
        <w:t>Matriliny ?</w:t>
      </w:r>
      <w:proofErr w:type="gramEnd"/>
      <w:r>
        <w:t>’</w:t>
      </w:r>
      <w:r w:rsidR="00B52B0F">
        <w:t xml:space="preserve">, in </w:t>
      </w:r>
      <w:r w:rsidR="00B52B0F">
        <w:rPr>
          <w:i/>
        </w:rPr>
        <w:t>Northern Studies</w:t>
      </w:r>
      <w:r w:rsidR="00B52B0F">
        <w:t xml:space="preserve"> 34 (1999), 11-23.</w:t>
      </w:r>
    </w:p>
    <w:p w:rsidR="00B52B0F" w:rsidRDefault="005E598C">
      <w:pPr>
        <w:spacing w:before="60" w:after="60"/>
      </w:pPr>
      <w:proofErr w:type="gramStart"/>
      <w:r>
        <w:t>‘</w:t>
      </w:r>
      <w:r w:rsidR="00B52B0F">
        <w:t xml:space="preserve">The Treaty of </w:t>
      </w:r>
      <w:smartTag w:uri="urn:schemas-microsoft-com:office:smarttags" w:element="place">
        <w:smartTag w:uri="urn:schemas-microsoft-com:office:smarttags" w:element="City">
          <w:r w:rsidR="00B52B0F">
            <w:t>Edinburgh</w:t>
          </w:r>
        </w:smartTag>
      </w:smartTag>
      <w:r w:rsidR="00B52B0F">
        <w:t xml:space="preserve"> a</w:t>
      </w:r>
      <w:r>
        <w:t>nd the Disinherited (1328-1332)’</w:t>
      </w:r>
      <w:r w:rsidR="00B52B0F">
        <w:t xml:space="preserve">, in </w:t>
      </w:r>
      <w:r w:rsidR="00B52B0F">
        <w:rPr>
          <w:i/>
        </w:rPr>
        <w:t>History</w:t>
      </w:r>
      <w:r w:rsidR="00B52B0F">
        <w:t xml:space="preserve"> 84 (1999), 237-56 (co-authored).</w:t>
      </w:r>
      <w:proofErr w:type="gramEnd"/>
    </w:p>
    <w:p w:rsidR="00B52B0F" w:rsidRDefault="005E598C">
      <w:pPr>
        <w:spacing w:before="60" w:after="60"/>
      </w:pPr>
      <w:proofErr w:type="gramStart"/>
      <w:r>
        <w:t>‘</w:t>
      </w:r>
      <w:r w:rsidR="00B52B0F">
        <w:t>Harps of Their Owne Sorte?</w:t>
      </w:r>
      <w:proofErr w:type="gramEnd"/>
      <w:r w:rsidR="00B52B0F">
        <w:t xml:space="preserve"> A Reassessment of</w:t>
      </w:r>
      <w:r>
        <w:t xml:space="preserve"> Pictish Chordophone Depictions’</w:t>
      </w:r>
      <w:r w:rsidR="00B52B0F">
        <w:t xml:space="preserve">, in </w:t>
      </w:r>
      <w:r w:rsidR="00B52B0F">
        <w:rPr>
          <w:i/>
        </w:rPr>
        <w:t>Cambrian Medieval Celtic Studies</w:t>
      </w:r>
      <w:r w:rsidR="00B52B0F">
        <w:t xml:space="preserve"> 36 (Winter 1998), 37-60.</w:t>
      </w:r>
    </w:p>
    <w:p w:rsidR="00B52B0F" w:rsidRDefault="00B52B0F">
      <w:pPr>
        <w:spacing w:before="60" w:after="60"/>
      </w:pPr>
    </w:p>
    <w:p w:rsidR="007420AF" w:rsidRDefault="000D0CDF" w:rsidP="007420AF">
      <w:pPr>
        <w:rPr>
          <w:b/>
        </w:rPr>
      </w:pPr>
      <w:r>
        <w:rPr>
          <w:b/>
        </w:rPr>
        <w:t xml:space="preserve">BOOK </w:t>
      </w:r>
      <w:r w:rsidR="007420AF">
        <w:rPr>
          <w:b/>
        </w:rPr>
        <w:t>REVIEWS</w:t>
      </w:r>
      <w:r w:rsidR="00C015FE">
        <w:rPr>
          <w:b/>
        </w:rPr>
        <w:t xml:space="preserve"> (most recent)</w:t>
      </w:r>
    </w:p>
    <w:p w:rsidR="007420AF" w:rsidRDefault="006F4E9E">
      <w:pPr>
        <w:spacing w:before="60" w:after="60"/>
        <w:rPr>
          <w:rFonts w:eastAsia="MS Mincho"/>
        </w:rPr>
      </w:pPr>
      <w:r>
        <w:rPr>
          <w:rFonts w:eastAsia="MS Mincho"/>
        </w:rPr>
        <w:lastRenderedPageBreak/>
        <w:t>T.</w:t>
      </w:r>
      <w:r w:rsidR="00C015FE" w:rsidRPr="00815654">
        <w:rPr>
          <w:rFonts w:eastAsia="MS Mincho"/>
        </w:rPr>
        <w:t>C. Smout, Alan R. MacDonald, and Fiona Watson</w:t>
      </w:r>
      <w:r w:rsidR="00C015FE">
        <w:rPr>
          <w:rFonts w:eastAsia="MS Mincho"/>
        </w:rPr>
        <w:t>,</w:t>
      </w:r>
      <w:r w:rsidR="00C015FE" w:rsidRPr="00815654">
        <w:rPr>
          <w:rFonts w:eastAsia="MS Mincho"/>
          <w:i/>
          <w:iCs/>
        </w:rPr>
        <w:t xml:space="preserve"> </w:t>
      </w:r>
      <w:proofErr w:type="gramStart"/>
      <w:r w:rsidR="00C015FE" w:rsidRPr="00815654">
        <w:rPr>
          <w:rFonts w:eastAsia="MS Mincho"/>
          <w:i/>
          <w:iCs/>
        </w:rPr>
        <w:t>A</w:t>
      </w:r>
      <w:proofErr w:type="gramEnd"/>
      <w:r w:rsidR="00C015FE" w:rsidRPr="00815654">
        <w:rPr>
          <w:rFonts w:eastAsia="MS Mincho"/>
          <w:i/>
          <w:iCs/>
        </w:rPr>
        <w:t xml:space="preserve"> History of the Native Woodlands of </w:t>
      </w:r>
      <w:smartTag w:uri="urn:schemas-microsoft-com:office:smarttags" w:element="place">
        <w:smartTag w:uri="urn:schemas-microsoft-com:office:smarttags" w:element="country-region">
          <w:r w:rsidR="00C015FE" w:rsidRPr="00815654">
            <w:rPr>
              <w:rFonts w:eastAsia="MS Mincho"/>
              <w:i/>
              <w:iCs/>
            </w:rPr>
            <w:t>Scotland</w:t>
          </w:r>
        </w:smartTag>
      </w:smartTag>
      <w:r w:rsidR="00C015FE" w:rsidRPr="00815654">
        <w:rPr>
          <w:rFonts w:eastAsia="MS Mincho"/>
          <w:i/>
          <w:iCs/>
        </w:rPr>
        <w:t>, 1500–1920</w:t>
      </w:r>
      <w:r w:rsidR="00C015FE">
        <w:rPr>
          <w:rFonts w:eastAsia="MS Mincho"/>
        </w:rPr>
        <w:t xml:space="preserve">, for </w:t>
      </w:r>
      <w:r w:rsidR="00C015FE">
        <w:rPr>
          <w:rFonts w:eastAsia="MS Mincho"/>
          <w:i/>
        </w:rPr>
        <w:t>Environmental History</w:t>
      </w:r>
      <w:r w:rsidR="00C015FE">
        <w:rPr>
          <w:rFonts w:eastAsia="MS Mincho"/>
        </w:rPr>
        <w:t xml:space="preserve"> (</w:t>
      </w:r>
      <w:hyperlink r:id="rId8" w:history="1">
        <w:r w:rsidR="00C015FE" w:rsidRPr="008401EB">
          <w:rPr>
            <w:rStyle w:val="Hyperlink"/>
            <w:rFonts w:eastAsia="MS Mincho"/>
          </w:rPr>
          <w:t>http://www.historycooperative.org/journals/eh/13.4/br_3.html</w:t>
        </w:r>
      </w:hyperlink>
      <w:r w:rsidR="00C015FE">
        <w:rPr>
          <w:rFonts w:eastAsia="MS Mincho"/>
        </w:rPr>
        <w:t>)</w:t>
      </w:r>
    </w:p>
    <w:p w:rsidR="00C015FE" w:rsidRPr="006758A5" w:rsidRDefault="000D0CDF">
      <w:pPr>
        <w:spacing w:before="60" w:after="60"/>
      </w:pPr>
      <w:r>
        <w:t>A. Woolf,</w:t>
      </w:r>
      <w:r w:rsidR="006758A5" w:rsidRPr="006758A5">
        <w:t xml:space="preserve"> </w:t>
      </w:r>
      <w:r w:rsidR="006758A5" w:rsidRPr="006758A5">
        <w:rPr>
          <w:i/>
        </w:rPr>
        <w:t>From Pictland to Alba, 789-1070</w:t>
      </w:r>
      <w:r w:rsidR="006758A5">
        <w:t xml:space="preserve"> for </w:t>
      </w:r>
      <w:r w:rsidR="006758A5" w:rsidRPr="006758A5">
        <w:rPr>
          <w:i/>
        </w:rPr>
        <w:t>H-Net Review</w:t>
      </w:r>
      <w:r w:rsidR="006758A5">
        <w:t xml:space="preserve"> (</w:t>
      </w:r>
      <w:hyperlink r:id="rId9" w:history="1">
        <w:r w:rsidR="006758A5">
          <w:rPr>
            <w:rStyle w:val="Hyperlink"/>
            <w:sz w:val="19"/>
            <w:szCs w:val="19"/>
          </w:rPr>
          <w:t>http://www.h-net.org/reviews/showrev.php?id</w:t>
        </w:r>
        <w:r w:rsidR="006758A5">
          <w:rPr>
            <w:rStyle w:val="Hyperlink"/>
            <w:sz w:val="19"/>
            <w:szCs w:val="19"/>
          </w:rPr>
          <w:t>=</w:t>
        </w:r>
        <w:r w:rsidR="006758A5">
          <w:rPr>
            <w:rStyle w:val="Hyperlink"/>
            <w:sz w:val="19"/>
            <w:szCs w:val="19"/>
          </w:rPr>
          <w:t>22957</w:t>
        </w:r>
      </w:hyperlink>
      <w:r w:rsidR="006758A5">
        <w:t>).</w:t>
      </w:r>
    </w:p>
    <w:p w:rsidR="007420AF" w:rsidRDefault="007420AF">
      <w:pPr>
        <w:spacing w:before="60" w:after="60"/>
      </w:pPr>
    </w:p>
    <w:p w:rsidR="00B52B0F" w:rsidRDefault="00B52B0F">
      <w:pPr>
        <w:rPr>
          <w:b/>
        </w:rPr>
      </w:pPr>
      <w:r>
        <w:rPr>
          <w:b/>
        </w:rPr>
        <w:t>FORTHCOMING (BOOKS)</w:t>
      </w:r>
    </w:p>
    <w:p w:rsidR="00B52B0F" w:rsidRDefault="006758A5">
      <w:pPr>
        <w:spacing w:before="40" w:after="40"/>
        <w:rPr>
          <w:b/>
        </w:rPr>
      </w:pPr>
      <w:r>
        <w:rPr>
          <w:b/>
        </w:rPr>
        <w:t>MONOGRAPHS</w:t>
      </w:r>
    </w:p>
    <w:p w:rsidR="00B52B0F" w:rsidRDefault="00E72AFA">
      <w:r>
        <w:rPr>
          <w:i/>
        </w:rPr>
        <w:t>Land</w:t>
      </w:r>
      <w:r w:rsidR="00B52B0F">
        <w:rPr>
          <w:i/>
        </w:rPr>
        <w:t xml:space="preserve"> </w:t>
      </w:r>
      <w:r>
        <w:rPr>
          <w:i/>
        </w:rPr>
        <w:t xml:space="preserve">Assessment and Lordship in Medieval </w:t>
      </w:r>
      <w:r w:rsidR="005B746E">
        <w:rPr>
          <w:i/>
        </w:rPr>
        <w:t>Scotland</w:t>
      </w:r>
      <w:r w:rsidR="005B746E">
        <w:t xml:space="preserve"> (forthcoming 2011)</w:t>
      </w:r>
      <w:r w:rsidR="00B52B0F">
        <w:t>.</w:t>
      </w:r>
    </w:p>
    <w:p w:rsidR="007420AF" w:rsidRDefault="007420AF"/>
    <w:p w:rsidR="007420AF" w:rsidRDefault="007420AF">
      <w:proofErr w:type="gramStart"/>
      <w:r>
        <w:rPr>
          <w:i/>
        </w:rPr>
        <w:t>Kings of Alba</w:t>
      </w:r>
      <w:r>
        <w:t xml:space="preserve"> </w:t>
      </w:r>
      <w:r w:rsidR="00C015FE" w:rsidRPr="00C015FE">
        <w:rPr>
          <w:i/>
        </w:rPr>
        <w:t>during</w:t>
      </w:r>
      <w:r w:rsidR="00C015FE">
        <w:t xml:space="preserve"> the </w:t>
      </w:r>
      <w:r w:rsidR="00C015FE">
        <w:rPr>
          <w:i/>
        </w:rPr>
        <w:t xml:space="preserve">Eleventh Century </w:t>
      </w:r>
      <w:r>
        <w:t xml:space="preserve">(forthcoming </w:t>
      </w:r>
      <w:r w:rsidR="001F3CE4">
        <w:t>January 2011</w:t>
      </w:r>
      <w:r w:rsidR="005B746E">
        <w:t>)</w:t>
      </w:r>
      <w:r w:rsidR="001F3CE4">
        <w:t>.</w:t>
      </w:r>
      <w:proofErr w:type="gramEnd"/>
    </w:p>
    <w:p w:rsidR="001D04AE" w:rsidRDefault="001D04AE"/>
    <w:p w:rsidR="001D04AE" w:rsidRDefault="001D04AE" w:rsidP="001D04AE">
      <w:pPr>
        <w:rPr>
          <w:b/>
        </w:rPr>
      </w:pPr>
      <w:r>
        <w:rPr>
          <w:b/>
        </w:rPr>
        <w:t>FORTHCOMING (ARTICLES)</w:t>
      </w:r>
    </w:p>
    <w:p w:rsidR="001D04AE" w:rsidRDefault="001D04AE">
      <w:r>
        <w:t>“What happened when improvement failed?” (</w:t>
      </w:r>
      <w:proofErr w:type="gramStart"/>
      <w:r>
        <w:t>forthcoming</w:t>
      </w:r>
      <w:proofErr w:type="gramEnd"/>
      <w:r>
        <w:t xml:space="preserve"> 2011).</w:t>
      </w:r>
    </w:p>
    <w:p w:rsidR="007420AF" w:rsidRDefault="007420AF"/>
    <w:sectPr w:rsidR="007420AF">
      <w:headerReference w:type="default" r:id="rId10"/>
      <w:headerReference w:type="first" r:id="rId11"/>
      <w:pgSz w:w="11906" w:h="16838" w:code="9"/>
      <w:pgMar w:top="1701" w:right="1701" w:bottom="141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A4" w:rsidRDefault="00353FA4">
      <w:r>
        <w:separator/>
      </w:r>
    </w:p>
  </w:endnote>
  <w:endnote w:type="continuationSeparator" w:id="0">
    <w:p w:rsidR="00353FA4" w:rsidRDefault="003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A4" w:rsidRDefault="00353FA4">
      <w:r>
        <w:separator/>
      </w:r>
    </w:p>
  </w:footnote>
  <w:footnote w:type="continuationSeparator" w:id="0">
    <w:p w:rsidR="00353FA4" w:rsidRDefault="003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943"/>
      <w:gridCol w:w="5812"/>
    </w:tblGrid>
    <w:tr w:rsidR="001F3CE4">
      <w:tblPrEx>
        <w:tblCellMar>
          <w:top w:w="0" w:type="dxa"/>
          <w:bottom w:w="0" w:type="dxa"/>
        </w:tblCellMar>
      </w:tblPrEx>
      <w:tc>
        <w:tcPr>
          <w:tcW w:w="2943" w:type="dxa"/>
          <w:shd w:val="pct20" w:color="auto" w:fill="FFFFFF"/>
        </w:tcPr>
        <w:p w:rsidR="001F3CE4" w:rsidRDefault="001F3CE4">
          <w:pPr>
            <w:jc w:val="left"/>
            <w:rPr>
              <w:sz w:val="22"/>
            </w:rPr>
          </w:pPr>
        </w:p>
      </w:tc>
      <w:tc>
        <w:tcPr>
          <w:tcW w:w="5812" w:type="dxa"/>
          <w:shd w:val="pct20" w:color="auto" w:fill="FFFFFF"/>
        </w:tcPr>
        <w:p w:rsidR="001F3CE4" w:rsidRPr="00247658" w:rsidRDefault="001F3CE4" w:rsidP="00247658">
          <w:pPr>
            <w:jc w:val="right"/>
            <w:rPr>
              <w:b/>
            </w:rPr>
          </w:pPr>
        </w:p>
      </w:tc>
    </w:tr>
  </w:tbl>
  <w:p w:rsidR="001F3CE4" w:rsidRDefault="001F3C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Look w:val="0000"/>
    </w:tblPr>
    <w:tblGrid>
      <w:gridCol w:w="4786"/>
      <w:gridCol w:w="3969"/>
    </w:tblGrid>
    <w:tr w:rsidR="001F3CE4">
      <w:tblPrEx>
        <w:tblCellMar>
          <w:top w:w="0" w:type="dxa"/>
          <w:bottom w:w="0" w:type="dxa"/>
        </w:tblCellMar>
      </w:tblPrEx>
      <w:tc>
        <w:tcPr>
          <w:tcW w:w="4786" w:type="dxa"/>
          <w:shd w:val="pct15" w:color="000000" w:fill="FFFFFF"/>
        </w:tcPr>
        <w:p w:rsidR="001F3CE4" w:rsidRDefault="001F3CE4">
          <w:pPr>
            <w:jc w:val="left"/>
            <w:rPr>
              <w:b/>
            </w:rPr>
          </w:pPr>
        </w:p>
      </w:tc>
      <w:tc>
        <w:tcPr>
          <w:tcW w:w="3969" w:type="dxa"/>
          <w:shd w:val="pct15" w:color="000000" w:fill="FFFFFF"/>
        </w:tcPr>
        <w:p w:rsidR="001F3CE4" w:rsidRDefault="001F3CE4" w:rsidP="00247658">
          <w:pPr>
            <w:jc w:val="right"/>
            <w:rPr>
              <w:b/>
            </w:rPr>
          </w:pPr>
        </w:p>
      </w:tc>
    </w:tr>
  </w:tbl>
  <w:p w:rsidR="001F3CE4" w:rsidRDefault="001F3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B14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>
    <w:nsid w:val="111A336A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>
    <w:nsid w:val="1C116E4F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>
    <w:nsid w:val="218F3313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">
    <w:nsid w:val="24882A3F"/>
    <w:multiLevelType w:val="singleLevel"/>
    <w:tmpl w:val="921CB4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2FB57DC6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>
    <w:nsid w:val="51487D2E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7">
    <w:nsid w:val="590E311E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8">
    <w:nsid w:val="5E437111"/>
    <w:multiLevelType w:val="singleLevel"/>
    <w:tmpl w:val="921CB4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63881EFB"/>
    <w:multiLevelType w:val="singleLevel"/>
    <w:tmpl w:val="921CB4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6AF47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96265F"/>
    <w:multiLevelType w:val="singleLevel"/>
    <w:tmpl w:val="FF1C631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2">
    <w:nsid w:val="77D205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linkStyles/>
  <w:stylePaneFormatFilter w:val="3F01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377"/>
    <w:rsid w:val="0000770C"/>
    <w:rsid w:val="00007F62"/>
    <w:rsid w:val="00054C1B"/>
    <w:rsid w:val="00066200"/>
    <w:rsid w:val="00076377"/>
    <w:rsid w:val="00082D8F"/>
    <w:rsid w:val="000957A7"/>
    <w:rsid w:val="000A21C0"/>
    <w:rsid w:val="000D0CDF"/>
    <w:rsid w:val="000F4178"/>
    <w:rsid w:val="0011061E"/>
    <w:rsid w:val="00111BBC"/>
    <w:rsid w:val="00122C9D"/>
    <w:rsid w:val="00124D08"/>
    <w:rsid w:val="00134672"/>
    <w:rsid w:val="00177EF7"/>
    <w:rsid w:val="00177F7D"/>
    <w:rsid w:val="001B13A5"/>
    <w:rsid w:val="001B450E"/>
    <w:rsid w:val="001D04AE"/>
    <w:rsid w:val="001F3CE4"/>
    <w:rsid w:val="00247658"/>
    <w:rsid w:val="002759A3"/>
    <w:rsid w:val="0028210E"/>
    <w:rsid w:val="002B05FD"/>
    <w:rsid w:val="002C4F90"/>
    <w:rsid w:val="003019BA"/>
    <w:rsid w:val="00353FA4"/>
    <w:rsid w:val="00364B4A"/>
    <w:rsid w:val="003B6226"/>
    <w:rsid w:val="003E3B2C"/>
    <w:rsid w:val="00403C80"/>
    <w:rsid w:val="004316E6"/>
    <w:rsid w:val="00443B28"/>
    <w:rsid w:val="00447AF8"/>
    <w:rsid w:val="00450CD3"/>
    <w:rsid w:val="004670B6"/>
    <w:rsid w:val="00491BDC"/>
    <w:rsid w:val="0049621D"/>
    <w:rsid w:val="004A0099"/>
    <w:rsid w:val="004D04A4"/>
    <w:rsid w:val="004D4F6F"/>
    <w:rsid w:val="004E63D6"/>
    <w:rsid w:val="00504121"/>
    <w:rsid w:val="00507377"/>
    <w:rsid w:val="00526168"/>
    <w:rsid w:val="005322E4"/>
    <w:rsid w:val="005433B8"/>
    <w:rsid w:val="005546BE"/>
    <w:rsid w:val="0058708C"/>
    <w:rsid w:val="0059750D"/>
    <w:rsid w:val="005B746E"/>
    <w:rsid w:val="005E5909"/>
    <w:rsid w:val="005E598C"/>
    <w:rsid w:val="005E7026"/>
    <w:rsid w:val="005F71E1"/>
    <w:rsid w:val="00642F79"/>
    <w:rsid w:val="006576D8"/>
    <w:rsid w:val="00671036"/>
    <w:rsid w:val="00673296"/>
    <w:rsid w:val="006758A5"/>
    <w:rsid w:val="0067792E"/>
    <w:rsid w:val="006E52C8"/>
    <w:rsid w:val="006F4E9E"/>
    <w:rsid w:val="0070210A"/>
    <w:rsid w:val="00710908"/>
    <w:rsid w:val="0073486C"/>
    <w:rsid w:val="007420AF"/>
    <w:rsid w:val="00760438"/>
    <w:rsid w:val="007D58D1"/>
    <w:rsid w:val="007D655A"/>
    <w:rsid w:val="007E0372"/>
    <w:rsid w:val="007E1B40"/>
    <w:rsid w:val="007E6022"/>
    <w:rsid w:val="00804D1F"/>
    <w:rsid w:val="008540D3"/>
    <w:rsid w:val="008834CD"/>
    <w:rsid w:val="008B7EA3"/>
    <w:rsid w:val="00900060"/>
    <w:rsid w:val="009008D4"/>
    <w:rsid w:val="00902AB5"/>
    <w:rsid w:val="00903986"/>
    <w:rsid w:val="009129CD"/>
    <w:rsid w:val="009170D8"/>
    <w:rsid w:val="009417B2"/>
    <w:rsid w:val="00976B16"/>
    <w:rsid w:val="009848A1"/>
    <w:rsid w:val="009925D8"/>
    <w:rsid w:val="009975D6"/>
    <w:rsid w:val="009A0D15"/>
    <w:rsid w:val="009B13FB"/>
    <w:rsid w:val="009E5B0A"/>
    <w:rsid w:val="009E72FF"/>
    <w:rsid w:val="009F2A21"/>
    <w:rsid w:val="00A73759"/>
    <w:rsid w:val="00A83404"/>
    <w:rsid w:val="00AB5B94"/>
    <w:rsid w:val="00AC1207"/>
    <w:rsid w:val="00B15496"/>
    <w:rsid w:val="00B1600C"/>
    <w:rsid w:val="00B27507"/>
    <w:rsid w:val="00B31E06"/>
    <w:rsid w:val="00B32F51"/>
    <w:rsid w:val="00B52B0F"/>
    <w:rsid w:val="00B950F3"/>
    <w:rsid w:val="00B965B8"/>
    <w:rsid w:val="00BC2957"/>
    <w:rsid w:val="00BC68CE"/>
    <w:rsid w:val="00BC7A27"/>
    <w:rsid w:val="00BD4943"/>
    <w:rsid w:val="00BE1566"/>
    <w:rsid w:val="00BF230C"/>
    <w:rsid w:val="00BF25DD"/>
    <w:rsid w:val="00BF55AC"/>
    <w:rsid w:val="00C015FE"/>
    <w:rsid w:val="00C04AAA"/>
    <w:rsid w:val="00C10B7A"/>
    <w:rsid w:val="00C21052"/>
    <w:rsid w:val="00C464E6"/>
    <w:rsid w:val="00C627C3"/>
    <w:rsid w:val="00C932D6"/>
    <w:rsid w:val="00CC105F"/>
    <w:rsid w:val="00D0356B"/>
    <w:rsid w:val="00D22C8E"/>
    <w:rsid w:val="00D74797"/>
    <w:rsid w:val="00D861D9"/>
    <w:rsid w:val="00DA5529"/>
    <w:rsid w:val="00DB10B7"/>
    <w:rsid w:val="00DB724D"/>
    <w:rsid w:val="00DC6FC7"/>
    <w:rsid w:val="00DE121A"/>
    <w:rsid w:val="00DE457A"/>
    <w:rsid w:val="00DF1083"/>
    <w:rsid w:val="00E04244"/>
    <w:rsid w:val="00E07930"/>
    <w:rsid w:val="00E40955"/>
    <w:rsid w:val="00E72AFA"/>
    <w:rsid w:val="00E94D4F"/>
    <w:rsid w:val="00EA766E"/>
    <w:rsid w:val="00EB663A"/>
    <w:rsid w:val="00EB7A67"/>
    <w:rsid w:val="00ED030D"/>
    <w:rsid w:val="00ED2BF0"/>
    <w:rsid w:val="00EF0844"/>
    <w:rsid w:val="00F2674D"/>
    <w:rsid w:val="00F918D2"/>
    <w:rsid w:val="00FB24B4"/>
    <w:rsid w:val="00FD1AC7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center" w:pos="4536"/>
        <w:tab w:val="right" w:pos="9072"/>
      </w:tabs>
      <w:jc w:val="both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9072"/>
      </w:tabs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9072"/>
      </w:tabs>
      <w:spacing w:before="60" w:after="80"/>
      <w:jc w:val="left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9072"/>
      </w:tabs>
      <w:spacing w:before="60" w:after="60"/>
      <w:jc w:val="left"/>
      <w:outlineLvl w:val="3"/>
    </w:pPr>
    <w:rPr>
      <w:rFonts w:ascii="Tahoma" w:hAnsi="Tahoma"/>
      <w:b/>
    </w:rPr>
  </w:style>
  <w:style w:type="paragraph" w:styleId="Heading5">
    <w:name w:val="heading 5"/>
    <w:basedOn w:val="Heading4"/>
    <w:next w:val="Normal"/>
    <w:qFormat/>
    <w:pPr>
      <w:outlineLvl w:val="4"/>
    </w:pPr>
    <w:rPr>
      <w:b w:val="0"/>
      <w:smallCaps/>
    </w:rPr>
  </w:style>
  <w:style w:type="paragraph" w:styleId="Heading6">
    <w:name w:val="heading 6"/>
    <w:basedOn w:val="Heading5"/>
    <w:next w:val="Normal"/>
    <w:qFormat/>
    <w:pPr>
      <w:outlineLvl w:val="5"/>
    </w:pPr>
    <w:rPr>
      <w:b/>
      <w:i/>
      <w:smallCaps w:val="0"/>
    </w:rPr>
  </w:style>
  <w:style w:type="paragraph" w:styleId="Heading7">
    <w:name w:val="heading 7"/>
    <w:basedOn w:val="Heading6"/>
    <w:qFormat/>
    <w:pPr>
      <w:outlineLvl w:val="6"/>
    </w:pPr>
    <w:rPr>
      <w:rFonts w:ascii="Arial" w:hAnsi="Arial"/>
      <w:i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6"/>
      <w:vertAlign w:val="superscript"/>
    </w:rPr>
  </w:style>
  <w:style w:type="paragraph" w:styleId="BodyText2">
    <w:name w:val="Body Text 2"/>
    <w:basedOn w:val="Normal"/>
    <w:next w:val="BodyText20"/>
    <w:pPr>
      <w:spacing w:before="60" w:after="60"/>
    </w:pPr>
    <w:rPr>
      <w:sz w:val="22"/>
    </w:rPr>
  </w:style>
  <w:style w:type="paragraph" w:styleId="BodyTextIndent2">
    <w:name w:val="Body Text Indent 2"/>
    <w:basedOn w:val="Normal"/>
    <w:pPr>
      <w:spacing w:before="60" w:after="60"/>
      <w:ind w:left="590" w:hanging="567"/>
    </w:pPr>
  </w:style>
  <w:style w:type="paragraph" w:styleId="BodyText">
    <w:name w:val="Body Text"/>
    <w:basedOn w:val="Normal"/>
    <w:pPr>
      <w:spacing w:line="360" w:lineRule="atLeast"/>
    </w:pPr>
    <w:rPr>
      <w:rFonts w:ascii="Helv" w:hAnsi="Helv"/>
      <w:sz w:val="24"/>
    </w:rPr>
  </w:style>
  <w:style w:type="paragraph" w:styleId="BodyText20">
    <w:name w:val="Body Text 2"/>
    <w:basedOn w:val="Normal"/>
    <w:pPr>
      <w:spacing w:before="60" w:after="60"/>
    </w:pPr>
    <w:rPr>
      <w:sz w:val="22"/>
    </w:rPr>
  </w:style>
  <w:style w:type="paragraph" w:styleId="Header">
    <w:name w:val="header"/>
    <w:basedOn w:val="Normal"/>
    <w:pPr>
      <w:tabs>
        <w:tab w:val="clear" w:pos="284"/>
        <w:tab w:val="clear" w:pos="1701"/>
        <w:tab w:val="clear" w:pos="2268"/>
        <w:tab w:val="clear" w:pos="2835"/>
      </w:tabs>
    </w:pPr>
  </w:style>
  <w:style w:type="paragraph" w:styleId="Footer">
    <w:name w:val="footer"/>
    <w:basedOn w:val="Normal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9072"/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60" w:after="60"/>
    </w:pPr>
    <w:rPr>
      <w:sz w:val="24"/>
    </w:rPr>
  </w:style>
  <w:style w:type="paragraph" w:styleId="NormalIndent">
    <w:name w:val="Normal Indent"/>
    <w:basedOn w:val="Normal"/>
    <w:pPr>
      <w:ind w:firstLine="170"/>
    </w:pPr>
  </w:style>
  <w:style w:type="paragraph" w:customStyle="1" w:styleId="NormalIndent5">
    <w:name w:val="Normal Indent 5"/>
    <w:basedOn w:val="Normal"/>
    <w:pPr>
      <w:ind w:firstLine="284"/>
    </w:pPr>
  </w:style>
  <w:style w:type="paragraph" w:customStyle="1" w:styleId="hanging">
    <w:name w:val="hanging"/>
    <w:basedOn w:val="Normal"/>
    <w:pPr>
      <w:ind w:left="170" w:hanging="170"/>
    </w:pPr>
  </w:style>
  <w:style w:type="paragraph" w:customStyle="1" w:styleId="hanging5">
    <w:name w:val="hanging 5"/>
    <w:basedOn w:val="Normal"/>
    <w:pPr>
      <w:ind w:left="284" w:hanging="284"/>
    </w:pPr>
  </w:style>
  <w:style w:type="paragraph" w:customStyle="1" w:styleId="quotation">
    <w:name w:val="quotation"/>
    <w:basedOn w:val="Normal"/>
    <w:next w:val="Normal"/>
    <w:pPr>
      <w:spacing w:before="120" w:after="120"/>
      <w:ind w:left="284" w:right="284"/>
    </w:pPr>
  </w:style>
  <w:style w:type="paragraph" w:customStyle="1" w:styleId="footnote">
    <w:name w:val="footnote"/>
    <w:basedOn w:val="Normal"/>
  </w:style>
  <w:style w:type="paragraph" w:customStyle="1" w:styleId="date">
    <w:name w:val="date"/>
    <w:basedOn w:val="Normal"/>
    <w:pPr>
      <w:jc w:val="right"/>
    </w:pPr>
  </w:style>
  <w:style w:type="paragraph" w:customStyle="1" w:styleId="footnoteindent">
    <w:name w:val="footnote indent"/>
    <w:basedOn w:val="Normal"/>
    <w:pPr>
      <w:ind w:firstLine="284"/>
    </w:pPr>
  </w:style>
  <w:style w:type="paragraph" w:styleId="BodyTextIndent">
    <w:name w:val="Body Text Indent"/>
    <w:basedOn w:val="Normal"/>
    <w:pPr>
      <w:ind w:left="504" w:hanging="504"/>
    </w:pPr>
    <w:rPr>
      <w:rFonts w:ascii="Arial" w:hAnsi="Arial"/>
    </w:rPr>
  </w:style>
  <w:style w:type="paragraph" w:styleId="Date0">
    <w:name w:val="Date"/>
    <w:basedOn w:val="Normal"/>
    <w:next w:val="Normal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9072"/>
      </w:tabs>
      <w:jc w:val="left"/>
    </w:pPr>
    <w:rPr>
      <w:rFonts w:ascii="Times New Roman" w:hAnsi="Times New Roman"/>
    </w:rPr>
  </w:style>
  <w:style w:type="paragraph" w:styleId="Salutation">
    <w:name w:val="Salutation"/>
    <w:basedOn w:val="Normal"/>
    <w:next w:val="Normal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9072"/>
      </w:tabs>
      <w:jc w:val="left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B31E0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0356B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center" w:pos="4536"/>
        <w:tab w:val="right" w:pos="9072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r-smallerfont">
    <w:name w:val="stir-smallerfont"/>
    <w:basedOn w:val="DefaultParagraphFont"/>
    <w:rsid w:val="00D0356B"/>
  </w:style>
  <w:style w:type="character" w:styleId="Strong">
    <w:name w:val="Strong"/>
    <w:basedOn w:val="DefaultParagraphFont"/>
    <w:qFormat/>
    <w:rsid w:val="00D0356B"/>
    <w:rPr>
      <w:b/>
      <w:bCs/>
    </w:rPr>
  </w:style>
  <w:style w:type="character" w:styleId="Hyperlink">
    <w:name w:val="Hyperlink"/>
    <w:basedOn w:val="DefaultParagraphFont"/>
    <w:rsid w:val="00D0356B"/>
    <w:rPr>
      <w:color w:val="0000FF"/>
      <w:u w:val="single"/>
    </w:rPr>
  </w:style>
  <w:style w:type="paragraph" w:styleId="BalloonText">
    <w:name w:val="Balloon Text"/>
    <w:basedOn w:val="Normal"/>
    <w:semiHidden/>
    <w:rsid w:val="009A0D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D0C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cooperative.org/journals/eh/13.4/br_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h.org.uk/pdfs/publications/commissioned_reports/3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-net.org/reviews/showrev.php?id=229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ja\Templates\ally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ally cv.dot</Template>
  <TotalTime>9</TotalTime>
  <Pages>3</Pages>
  <Words>755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Alasdair Ross</vt:lpstr>
    </vt:vector>
  </TitlesOfParts>
  <Company/>
  <LinksUpToDate>false</LinksUpToDate>
  <CharactersWithSpaces>5816</CharactersWithSpaces>
  <SharedDoc>false</SharedDoc>
  <HLinks>
    <vt:vector size="24" baseType="variant"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http://www.h-net.org/reviews/showrev.php?id=22957</vt:lpwstr>
      </vt:variant>
      <vt:variant>
        <vt:lpwstr/>
      </vt:variant>
      <vt:variant>
        <vt:i4>7536669</vt:i4>
      </vt:variant>
      <vt:variant>
        <vt:i4>6</vt:i4>
      </vt:variant>
      <vt:variant>
        <vt:i4>0</vt:i4>
      </vt:variant>
      <vt:variant>
        <vt:i4>5</vt:i4>
      </vt:variant>
      <vt:variant>
        <vt:lpwstr>http://www.historycooperative.org/journals/eh/13.4/br_3.html</vt:lpwstr>
      </vt:variant>
      <vt:variant>
        <vt:lpwstr/>
      </vt:variant>
      <vt:variant>
        <vt:i4>4194407</vt:i4>
      </vt:variant>
      <vt:variant>
        <vt:i4>3</vt:i4>
      </vt:variant>
      <vt:variant>
        <vt:i4>0</vt:i4>
      </vt:variant>
      <vt:variant>
        <vt:i4>5</vt:i4>
      </vt:variant>
      <vt:variant>
        <vt:lpwstr>http://www.snh.org.uk/pdfs/publications/commissioned_reports/313.pdf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http://www.scran.ac.uk/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Alasdair Ross</dc:title>
  <dc:subject/>
  <dc:creator>Alasdair D. Ross</dc:creator>
  <cp:keywords/>
  <cp:lastModifiedBy>ar26</cp:lastModifiedBy>
  <cp:revision>4</cp:revision>
  <cp:lastPrinted>2009-03-02T08:43:00Z</cp:lastPrinted>
  <dcterms:created xsi:type="dcterms:W3CDTF">2010-10-14T15:14:00Z</dcterms:created>
  <dcterms:modified xsi:type="dcterms:W3CDTF">2010-10-14T15:23:00Z</dcterms:modified>
</cp:coreProperties>
</file>