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ubtitle"/>
        <w:jc w:val="left"/>
        <w:rPr>
          <w:rFonts w:ascii="DejaVu Sans" w:hAnsi="DejaVu Sans"/>
          <w:b w:val="false"/>
          <w:i/>
          <w:sz w:val="24"/>
        </w:rPr>
      </w:pPr>
      <w:r>
        <w:rPr>
          <w:rFonts w:ascii="DejaVu Sans" w:hAnsi="DejaVu Sans"/>
          <w:b w:val="false"/>
          <w:i/>
          <w:sz w:val="24"/>
        </w:rPr>
        <w:t>Curriculum Vitae (</w:t>
      </w:r>
      <w:r>
        <w:rPr>
          <w:rFonts w:ascii="DejaVu Sans" w:hAnsi="DejaVu Sans"/>
          <w:b w:val="false"/>
          <w:i/>
          <w:iCs/>
          <w:sz w:val="24"/>
        </w:rPr>
        <w:t>selectiones</w:t>
      </w:r>
      <w:r>
        <w:rPr>
          <w:rFonts w:ascii="DejaVu Sans" w:hAnsi="DejaVu Sans"/>
          <w:b w:val="false"/>
          <w:i/>
          <w:sz w:val="24"/>
        </w:rPr>
        <w:t>)</w:t>
      </w:r>
    </w:p>
    <w:p>
      <w:pPr>
        <w:pStyle w:val="Subtitle"/>
        <w:jc w:val="left"/>
        <w:rPr>
          <w:rFonts w:ascii="DejaVu Sans" w:hAnsi="DejaVu Sans"/>
          <w:sz w:val="24"/>
        </w:rPr>
      </w:pPr>
      <w:r>
        <w:rPr>
          <w:rFonts w:ascii="DejaVu Sans" w:hAnsi="DejaVu Sans"/>
          <w:sz w:val="24"/>
        </w:rPr>
        <w:t>LINNÉA ROWLATT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134" w:right="1440" w:header="720" w:top="993" w:footer="720" w:bottom="1560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ind w:left="0" w:right="-23" w:hanging="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  <w:t>l.rowlatt@utoronto.ca</w:t>
      </w:r>
    </w:p>
    <w:p>
      <w:pPr>
        <w:pStyle w:val="Normal"/>
        <w:ind w:left="0" w:right="-23" w:hanging="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  <w:t>(613) 728-8221</w:t>
      </w:r>
    </w:p>
    <w:p>
      <w:pPr>
        <w:pStyle w:val="Normal"/>
        <w:ind w:left="0" w:right="-23" w:hanging="0"/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sz w:val="21"/>
          <w:szCs w:val="21"/>
        </w:rPr>
      </w:r>
    </w:p>
    <w:p>
      <w:pPr>
        <w:pStyle w:val="Normal"/>
        <w:ind w:left="0" w:right="-23" w:hanging="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u w:val="single"/>
          <w:lang w:val="en-GB"/>
        </w:rPr>
        <w:t>Research Interests</w:t>
      </w:r>
      <w:r>
        <w:rPr>
          <w:rFonts w:ascii="DejaVu Sans" w:hAnsi="DejaVu Sans"/>
          <w:sz w:val="21"/>
          <w:szCs w:val="21"/>
          <w:lang w:val="en-GB"/>
        </w:rPr>
        <w:t xml:space="preserve">:  environmental history, Indigenous </w:t>
      </w:r>
      <w:r>
        <w:rPr>
          <w:rFonts w:ascii="DejaVu Sans" w:hAnsi="DejaVu Sans"/>
          <w:sz w:val="21"/>
          <w:szCs w:val="21"/>
          <w:lang w:val="en-GB"/>
        </w:rPr>
        <w:t>societies, history of religion</w:t>
      </w:r>
    </w:p>
    <w:p>
      <w:pPr>
        <w:pStyle w:val="Normal"/>
        <w:ind w:left="0" w:right="-23" w:hanging="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</w:r>
    </w:p>
    <w:p>
      <w:pPr>
        <w:pStyle w:val="Normal"/>
        <w:ind w:left="0" w:right="-23" w:hanging="0"/>
        <w:rPr>
          <w:rFonts w:ascii="DejaVu Sans" w:hAnsi="DejaVu Sans"/>
          <w:sz w:val="21"/>
          <w:szCs w:val="21"/>
          <w:u w:val="single"/>
          <w:lang w:val="en-GB"/>
        </w:rPr>
      </w:pPr>
      <w:r>
        <w:rPr>
          <w:rFonts w:ascii="DejaVu Sans" w:hAnsi="DejaVu Sans"/>
          <w:sz w:val="21"/>
          <w:szCs w:val="21"/>
          <w:u w:val="single"/>
          <w:lang w:val="en-GB"/>
        </w:rPr>
        <w:t>Current Academic Status</w:t>
      </w:r>
    </w:p>
    <w:p>
      <w:pPr>
        <w:pStyle w:val="Normal"/>
        <w:numPr>
          <w:ilvl w:val="0"/>
          <w:numId w:val="1"/>
        </w:numPr>
        <w:rPr>
          <w:rFonts w:ascii="DejaVu Sans" w:hAnsi="DejaVu Sans"/>
          <w:b w:val="false"/>
          <w:bCs w:val="false"/>
          <w:sz w:val="21"/>
          <w:szCs w:val="21"/>
        </w:rPr>
      </w:pPr>
      <w:r>
        <w:rPr>
          <w:rFonts w:ascii="DejaVu Sans" w:hAnsi="DejaVu Sans"/>
          <w:b/>
          <w:bCs/>
          <w:sz w:val="21"/>
          <w:szCs w:val="21"/>
        </w:rPr>
        <w:t>Vice-Director (Operations)</w:t>
      </w:r>
      <w:r>
        <w:rPr>
          <w:rFonts w:ascii="DejaVu Sans" w:hAnsi="DejaVu Sans"/>
          <w:b w:val="false"/>
          <w:bCs w:val="false"/>
          <w:sz w:val="21"/>
          <w:szCs w:val="21"/>
        </w:rPr>
        <w:t xml:space="preserve">, InterCulture research group, University of Ottawa; Director: Marie-Françoise Guédon; </w:t>
      </w:r>
      <w:r>
        <w:rPr>
          <w:rFonts w:ascii="DejaVu Sans" w:hAnsi="DejaVu Sans"/>
          <w:b/>
          <w:bCs/>
          <w:sz w:val="21"/>
          <w:szCs w:val="21"/>
        </w:rPr>
        <w:t>Research Associate (Core Group)</w:t>
      </w:r>
      <w:r>
        <w:rPr>
          <w:rFonts w:ascii="DejaVu Sans" w:hAnsi="DejaVu Sans"/>
          <w:b w:val="false"/>
          <w:bCs w:val="false"/>
          <w:sz w:val="21"/>
          <w:szCs w:val="21"/>
        </w:rPr>
        <w:t>, same; both as of 15 July 2016.</w:t>
      </w:r>
    </w:p>
    <w:p>
      <w:pPr>
        <w:pStyle w:val="Normal"/>
        <w:numPr>
          <w:ilvl w:val="0"/>
          <w:numId w:val="1"/>
        </w:numPr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b/>
          <w:sz w:val="21"/>
          <w:szCs w:val="21"/>
          <w:u w:val="none"/>
          <w:lang w:val="en-GB"/>
        </w:rPr>
        <w:t>Doctor of Philosophy;</w:t>
      </w:r>
      <w:r>
        <w:rPr>
          <w:rFonts w:ascii="DejaVu Sans" w:hAnsi="DejaVu Sans"/>
          <w:sz w:val="21"/>
          <w:szCs w:val="21"/>
          <w:lang w:val="en-GB"/>
        </w:rPr>
        <w:t xml:space="preserve"> History, jointly awarded by the University of Kent and the Freie Universität Berlin; Dissertation Title:  </w:t>
      </w:r>
      <w:r>
        <w:rPr>
          <w:rFonts w:ascii="DejaVu Sans" w:hAnsi="DejaVu Sans"/>
          <w:b/>
          <w:bCs/>
          <w:i/>
          <w:sz w:val="21"/>
          <w:szCs w:val="21"/>
          <w:lang w:val="en-GB"/>
        </w:rPr>
        <w:t>A Godly Environment: Religious Views of Nature in Early Sixteenth-Century Strasbourg</w:t>
      </w:r>
      <w:r>
        <w:rPr>
          <w:rFonts w:ascii="DejaVu Sans" w:hAnsi="DejaVu Sans"/>
          <w:sz w:val="21"/>
          <w:szCs w:val="21"/>
          <w:lang w:val="en-GB"/>
        </w:rPr>
        <w:t>; Supervisors: Kenneth Fincham (UKent) and Claudia Ulbrich (FU Berlin); anticipated graduation July 2016.</w:t>
      </w:r>
    </w:p>
    <w:p>
      <w:pPr>
        <w:pStyle w:val="Normal"/>
        <w:ind w:left="426" w:right="0" w:hanging="36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</w:r>
    </w:p>
    <w:p>
      <w:pPr>
        <w:pStyle w:val="Normal"/>
        <w:ind w:left="426" w:right="0" w:hanging="360"/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</w:r>
    </w:p>
    <w:p>
      <w:pPr>
        <w:pStyle w:val="Normal"/>
        <w:rPr>
          <w:rFonts w:ascii="DejaVu Sans" w:hAnsi="DejaVu Sans"/>
          <w:bCs/>
          <w:sz w:val="21"/>
          <w:szCs w:val="21"/>
          <w:u w:val="single"/>
          <w:lang w:val="en-GB"/>
        </w:rPr>
      </w:pPr>
      <w:r>
        <w:rPr>
          <w:rFonts w:ascii="DejaVu Sans" w:hAnsi="DejaVu Sans"/>
          <w:bCs/>
          <w:sz w:val="21"/>
          <w:szCs w:val="21"/>
          <w:u w:val="single"/>
          <w:lang w:val="en-GB"/>
        </w:rPr>
        <w:t>Selected Awards and Scholarships</w:t>
      </w:r>
    </w:p>
    <w:p>
      <w:pPr>
        <w:pStyle w:val="Normal"/>
        <w:numPr>
          <w:ilvl w:val="0"/>
          <w:numId w:val="1"/>
        </w:numPr>
        <w:rPr>
          <w:rFonts w:ascii="DejaVu Sans" w:hAnsi="DejaVu Sans"/>
          <w:bCs/>
          <w:sz w:val="21"/>
          <w:szCs w:val="21"/>
          <w:u w:val="none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>Text and Event in Early Modern Europe (TEEME) Erasmus Mundus Joint Doctorate Fellowship</w:t>
      </w:r>
      <w:r>
        <w:rPr>
          <w:rFonts w:ascii="DejaVu Sans" w:hAnsi="DejaVu Sans"/>
          <w:bCs/>
          <w:sz w:val="21"/>
          <w:szCs w:val="21"/>
          <w:u w:val="none"/>
          <w:lang w:val="en-GB"/>
        </w:rPr>
        <w:t xml:space="preserve">, 2011, awarded by </w:t>
      </w:r>
      <w:r>
        <w:rPr>
          <w:rFonts w:ascii="DejaVu Sans" w:hAnsi="DejaVu Sans"/>
          <w:bCs/>
          <w:sz w:val="21"/>
          <w:szCs w:val="21"/>
          <w:u w:val="none"/>
        </w:rPr>
        <w:t>Education, Audiovisual and Culture Executive Agency of the European Commission, awarded to pursue a doctoral dissertation.</w:t>
      </w:r>
    </w:p>
    <w:p>
      <w:pPr>
        <w:pStyle w:val="Normal"/>
        <w:numPr>
          <w:ilvl w:val="0"/>
          <w:numId w:val="1"/>
        </w:numPr>
        <w:rPr>
          <w:rFonts w:ascii="DejaVu Sans" w:hAnsi="DejaVu Sans"/>
          <w:bCs/>
          <w:sz w:val="21"/>
          <w:szCs w:val="21"/>
          <w:u w:val="none"/>
          <w:lang w:val="en-GB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>SSHRC Joseph-Armand Bombardier Canada Graduate Scholarships – Master’s scholarship</w:t>
      </w:r>
      <w:r>
        <w:rPr>
          <w:rFonts w:ascii="DejaVu Sans" w:hAnsi="DejaVu Sans"/>
          <w:bCs/>
          <w:sz w:val="21"/>
          <w:szCs w:val="21"/>
          <w:u w:val="none"/>
          <w:lang w:val="en-GB"/>
        </w:rPr>
        <w:t>, 2009-2010, awarded to pursue a Master’s thesis</w:t>
      </w:r>
    </w:p>
    <w:p>
      <w:pPr>
        <w:pStyle w:val="Normal"/>
        <w:numPr>
          <w:ilvl w:val="0"/>
          <w:numId w:val="1"/>
        </w:numPr>
        <w:rPr>
          <w:rFonts w:ascii="DejaVu Sans" w:hAnsi="DejaVu Sans"/>
          <w:bCs/>
          <w:sz w:val="21"/>
          <w:szCs w:val="21"/>
          <w:u w:val="none"/>
          <w:lang w:val="en-GB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>Merit Scholarship</w:t>
      </w:r>
      <w:r>
        <w:rPr>
          <w:rFonts w:ascii="DejaVu Sans" w:hAnsi="DejaVu Sans"/>
          <w:bCs/>
          <w:sz w:val="21"/>
          <w:szCs w:val="21"/>
          <w:u w:val="none"/>
          <w:lang w:val="en-GB"/>
        </w:rPr>
        <w:t>, Autumn 2008/Winter 2009,</w:t>
      </w:r>
      <w:r>
        <w:rPr>
          <w:rFonts w:ascii="DejaVu Sans" w:hAnsi="DejaVu Sans"/>
          <w:sz w:val="21"/>
          <w:szCs w:val="21"/>
          <w:u w:val="none"/>
          <w:lang w:val="en-GB"/>
        </w:rPr>
        <w:t xml:space="preserve"> </w:t>
      </w:r>
      <w:r>
        <w:rPr>
          <w:rFonts w:ascii="DejaVu Sans" w:hAnsi="DejaVu Sans"/>
          <w:bCs/>
          <w:sz w:val="21"/>
          <w:szCs w:val="21"/>
          <w:u w:val="none"/>
          <w:lang w:val="en-GB"/>
        </w:rPr>
        <w:t xml:space="preserve">awarded by the University of Ottawa for excellent academic standing </w:t>
      </w:r>
    </w:p>
    <w:p>
      <w:pPr>
        <w:pStyle w:val="ListParagraph"/>
        <w:numPr>
          <w:ilvl w:val="0"/>
          <w:numId w:val="1"/>
        </w:numPr>
        <w:tabs>
          <w:tab w:val="left" w:pos="2520" w:leader="none"/>
        </w:tabs>
        <w:rPr>
          <w:rFonts w:ascii="DejaVu Sans" w:hAnsi="DejaVu Sans"/>
          <w:sz w:val="21"/>
          <w:szCs w:val="21"/>
          <w:u w:val="none"/>
          <w:lang w:val="en-GB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 xml:space="preserve">Dean’s Honour List, </w:t>
      </w:r>
      <w:r>
        <w:rPr>
          <w:rFonts w:ascii="DejaVu Sans" w:hAnsi="DejaVu Sans"/>
          <w:sz w:val="21"/>
          <w:szCs w:val="21"/>
          <w:u w:val="none"/>
          <w:lang w:val="en-GB"/>
        </w:rPr>
        <w:t>academic year 2007/2008, awarded to students who have excelled in their academic studies by obtaining an annual grade point average of 8.5 or better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rPr>
          <w:rFonts w:ascii="DejaVu Sans" w:hAnsi="DejaVu Sans"/>
          <w:sz w:val="21"/>
          <w:szCs w:val="21"/>
          <w:u w:val="none"/>
          <w:lang w:val="en-GB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>Merit Scholarship</w:t>
      </w:r>
      <w:r>
        <w:rPr>
          <w:rFonts w:ascii="DejaVu Sans" w:hAnsi="DejaVu Sans"/>
          <w:sz w:val="21"/>
          <w:szCs w:val="21"/>
          <w:u w:val="none"/>
          <w:lang w:val="en-GB"/>
        </w:rPr>
        <w:t>, Autumn 2007, Winter 2008, awarded by the University of Ottawa for excellent academic standing</w:t>
      </w:r>
    </w:p>
    <w:p>
      <w:pPr>
        <w:pStyle w:val="Normal"/>
        <w:numPr>
          <w:ilvl w:val="0"/>
          <w:numId w:val="1"/>
        </w:numPr>
        <w:tabs>
          <w:tab w:val="left" w:pos="2520" w:leader="none"/>
        </w:tabs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b/>
          <w:bCs/>
          <w:sz w:val="21"/>
          <w:szCs w:val="21"/>
          <w:u w:val="none"/>
          <w:lang w:val="en-GB"/>
        </w:rPr>
        <w:t>Constance Jones Scholarship</w:t>
      </w:r>
      <w:r>
        <w:rPr>
          <w:rFonts w:ascii="DejaVu Sans" w:hAnsi="DejaVu Sans"/>
          <w:sz w:val="21"/>
          <w:szCs w:val="21"/>
          <w:lang w:val="en-GB"/>
        </w:rPr>
        <w:t>, April 2006, awarded</w:t>
      </w:r>
      <w:r>
        <w:rPr>
          <w:rFonts w:ascii="DejaVu Sans" w:hAnsi="DejaVu Sans"/>
          <w:sz w:val="21"/>
          <w:szCs w:val="21"/>
        </w:rPr>
        <w:t xml:space="preserve"> to a woman with high academic standing who is pursuing a full-time undergraduate program in women's studies.</w:t>
      </w:r>
    </w:p>
    <w:p>
      <w:pPr>
        <w:pStyle w:val="Normal"/>
        <w:tabs>
          <w:tab w:val="left" w:pos="2520" w:leader="none"/>
        </w:tabs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sz w:val="21"/>
          <w:szCs w:val="21"/>
        </w:rPr>
      </w:r>
    </w:p>
    <w:p>
      <w:pPr>
        <w:pStyle w:val="Normal"/>
        <w:tabs>
          <w:tab w:val="left" w:pos="2520" w:leader="none"/>
        </w:tabs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sz w:val="21"/>
          <w:szCs w:val="21"/>
        </w:rPr>
      </w:r>
    </w:p>
    <w:p>
      <w:pPr>
        <w:pStyle w:val="Normal"/>
        <w:rPr>
          <w:rFonts w:ascii="DejaVu Sans" w:hAnsi="DejaVu Sans"/>
          <w:bCs/>
          <w:sz w:val="21"/>
          <w:szCs w:val="21"/>
          <w:u w:val="single"/>
          <w:lang w:val="en-GB"/>
        </w:rPr>
      </w:pPr>
      <w:r>
        <w:rPr>
          <w:rFonts w:ascii="DejaVu Sans" w:hAnsi="DejaVu Sans"/>
          <w:bCs/>
          <w:sz w:val="21"/>
          <w:szCs w:val="21"/>
          <w:u w:val="single"/>
          <w:lang w:val="en-GB"/>
        </w:rPr>
        <w:t>Scholarly Publications</w:t>
      </w:r>
    </w:p>
    <w:p>
      <w:pPr>
        <w:pStyle w:val="ListParagraph"/>
        <w:numPr>
          <w:ilvl w:val="0"/>
          <w:numId w:val="2"/>
        </w:numPr>
        <w:ind w:left="426" w:right="-79" w:hanging="360"/>
        <w:rPr>
          <w:rFonts w:ascii="DejaVu Sans" w:hAnsi="DejaVu Sans"/>
          <w:i w:val="false"/>
          <w:iCs w:val="false"/>
          <w:sz w:val="21"/>
          <w:szCs w:val="21"/>
        </w:rPr>
      </w:pPr>
      <w:r>
        <w:rPr>
          <w:rFonts w:ascii="DejaVu Sans" w:hAnsi="DejaVu Sans"/>
          <w:sz w:val="21"/>
          <w:szCs w:val="21"/>
        </w:rPr>
        <w:t xml:space="preserve">'Influencing the Weather: Catholic Apotropaic Ritual Practice in Late Medieval Strasbourg', chapter in </w:t>
      </w:r>
      <w:r>
        <w:rPr>
          <w:rFonts w:ascii="DejaVu Sans" w:hAnsi="DejaVu Sans"/>
          <w:i/>
          <w:iCs/>
          <w:sz w:val="21"/>
          <w:szCs w:val="21"/>
        </w:rPr>
        <w:t>Monasteries and Environment</w:t>
      </w:r>
      <w:r>
        <w:rPr>
          <w:rFonts w:ascii="DejaVu Sans" w:hAnsi="DejaVu Sans"/>
          <w:i w:val="false"/>
          <w:iCs w:val="false"/>
          <w:sz w:val="21"/>
          <w:szCs w:val="21"/>
        </w:rPr>
        <w:t>, ed. Chantal Camenisch (Lanham: Lexington Books, in negotiation).</w:t>
      </w:r>
    </w:p>
    <w:p>
      <w:pPr>
        <w:pStyle w:val="ListParagraph"/>
        <w:numPr>
          <w:ilvl w:val="0"/>
          <w:numId w:val="2"/>
        </w:numPr>
        <w:ind w:left="426" w:right="-79" w:hanging="360"/>
        <w:rPr>
          <w:rFonts w:ascii="DejaVu Sans" w:hAnsi="DejaVu Sans"/>
          <w:bCs/>
          <w:sz w:val="21"/>
          <w:szCs w:val="21"/>
        </w:rPr>
      </w:pPr>
      <w:r>
        <w:rPr>
          <w:rFonts w:ascii="DejaVu Sans" w:hAnsi="DejaVu Sans"/>
          <w:bCs/>
          <w:i/>
          <w:sz w:val="21"/>
          <w:szCs w:val="21"/>
        </w:rPr>
        <w:t>Calling the Globe:  Original Practices and Stage Management at Shakespeare’s Globe Theatre</w:t>
      </w:r>
      <w:r>
        <w:rPr>
          <w:rFonts w:ascii="DejaVu Sans" w:hAnsi="DejaVu Sans"/>
          <w:bCs/>
          <w:sz w:val="21"/>
          <w:szCs w:val="21"/>
        </w:rPr>
        <w:t>.  The Shakespeare Globe Trust, September 2013.  http://www.shakespearesglobe.com/education/discovery-space/papers-and-research</w:t>
      </w:r>
    </w:p>
    <w:p>
      <w:pPr>
        <w:pStyle w:val="ListParagraph"/>
        <w:numPr>
          <w:ilvl w:val="0"/>
          <w:numId w:val="2"/>
        </w:numPr>
        <w:ind w:left="426" w:right="-79" w:hanging="360"/>
        <w:rPr>
          <w:rFonts w:ascii="DejaVu Sans" w:hAnsi="DejaVu Sans"/>
          <w:bCs/>
          <w:sz w:val="21"/>
          <w:szCs w:val="21"/>
          <w:lang w:val="en-CA"/>
        </w:rPr>
      </w:pPr>
      <w:r>
        <w:rPr>
          <w:rFonts w:ascii="DejaVu Sans" w:hAnsi="DejaVu Sans"/>
          <w:bCs/>
          <w:sz w:val="21"/>
          <w:szCs w:val="21"/>
          <w:lang w:val="en-CA"/>
        </w:rPr>
        <w:t xml:space="preserve"> “</w:t>
      </w:r>
      <w:r>
        <w:rPr>
          <w:rFonts w:ascii="DejaVu Sans" w:hAnsi="DejaVu Sans"/>
          <w:bCs/>
          <w:sz w:val="21"/>
          <w:szCs w:val="21"/>
          <w:lang w:val="en-CA"/>
        </w:rPr>
        <w:t xml:space="preserve">Proceedings of the Tenth Workshop on Early Modern Central European History,” </w:t>
      </w:r>
      <w:r>
        <w:rPr>
          <w:rFonts w:ascii="DejaVu Sans" w:hAnsi="DejaVu Sans"/>
          <w:bCs/>
          <w:i/>
          <w:sz w:val="21"/>
          <w:szCs w:val="21"/>
          <w:lang w:val="en-CA"/>
        </w:rPr>
        <w:t>Bulletin</w:t>
      </w:r>
      <w:r>
        <w:rPr>
          <w:rFonts w:ascii="DejaVu Sans" w:hAnsi="DejaVu Sans"/>
          <w:bCs/>
          <w:sz w:val="21"/>
          <w:szCs w:val="21"/>
          <w:lang w:val="en-CA"/>
        </w:rPr>
        <w:t>, German Historical Institute London, 35:1 (May 2013), 124-7.</w:t>
      </w:r>
    </w:p>
    <w:p>
      <w:pPr>
        <w:pStyle w:val="ListParagraph"/>
        <w:ind w:left="0" w:right="-79" w:hanging="0"/>
        <w:rPr>
          <w:rFonts w:ascii="DejaVu Sans" w:hAnsi="DejaVu Sans"/>
          <w:sz w:val="21"/>
          <w:szCs w:val="21"/>
        </w:rPr>
      </w:pPr>
      <w:r>
        <w:rPr>
          <w:rFonts w:ascii="DejaVu Sans" w:hAnsi="DejaVu Sans"/>
          <w:sz w:val="21"/>
          <w:szCs w:val="21"/>
        </w:rPr>
      </w:r>
    </w:p>
    <w:p>
      <w:pPr>
        <w:pStyle w:val="Normal"/>
        <w:ind w:left="0" w:right="-79" w:hanging="0"/>
        <w:rPr>
          <w:rFonts w:ascii="DejaVu Sans" w:hAnsi="DejaVu Sans"/>
          <w:bCs/>
          <w:sz w:val="21"/>
          <w:szCs w:val="21"/>
        </w:rPr>
      </w:pPr>
      <w:r>
        <w:rPr>
          <w:rFonts w:ascii="DejaVu Sans" w:hAnsi="DejaVu Sans"/>
          <w:bCs/>
          <w:sz w:val="21"/>
          <w:szCs w:val="21"/>
        </w:rPr>
      </w:r>
    </w:p>
    <w:p>
      <w:pPr>
        <w:pStyle w:val="Normal"/>
        <w:ind w:left="720" w:right="0" w:hanging="720"/>
        <w:rPr>
          <w:rFonts w:ascii="DejaVu Sans" w:hAnsi="DejaVu Sans"/>
          <w:sz w:val="21"/>
          <w:szCs w:val="21"/>
          <w:u w:val="single"/>
          <w:lang w:val="en-GB"/>
        </w:rPr>
      </w:pPr>
      <w:r>
        <w:rPr>
          <w:rFonts w:ascii="DejaVu Sans" w:hAnsi="DejaVu Sans"/>
          <w:sz w:val="21"/>
          <w:szCs w:val="21"/>
          <w:u w:val="single"/>
          <w:lang w:val="en-GB"/>
        </w:rPr>
        <w:t>Activities</w:t>
      </w:r>
    </w:p>
    <w:p>
      <w:pPr>
        <w:pStyle w:val="ListParagraph"/>
        <w:numPr>
          <w:ilvl w:val="0"/>
          <w:numId w:val="3"/>
        </w:numPr>
        <w:rPr>
          <w:rFonts w:ascii="DejaVu Sans" w:hAnsi="DejaVu Sans"/>
          <w:sz w:val="21"/>
          <w:szCs w:val="21"/>
          <w:lang w:val="en-GB"/>
        </w:rPr>
      </w:pPr>
      <w:r>
        <w:rPr>
          <w:rFonts w:ascii="DejaVu Sans" w:hAnsi="DejaVu Sans"/>
          <w:sz w:val="21"/>
          <w:szCs w:val="21"/>
          <w:lang w:val="en-GB"/>
        </w:rPr>
        <w:t xml:space="preserve">Student Representative, Text and Event in Early Modern Europe, Erasmus Mundus Joint Doctorate program; represents all students on TEEME governance bodies, 2012/13.  </w:t>
      </w:r>
    </w:p>
    <w:p>
      <w:pPr>
        <w:pStyle w:val="ListParagraph"/>
        <w:rPr>
          <w:sz w:val="21"/>
          <w:szCs w:val="21"/>
        </w:rPr>
      </w:pPr>
      <w:r>
        <w:rPr>
          <w:sz w:val="21"/>
          <w:szCs w:val="21"/>
        </w:rPr>
      </w:r>
    </w:p>
    <w:p>
      <w:pPr>
        <w:sectPr>
          <w:type w:val="continuous"/>
          <w:pgSz w:w="12240" w:h="15840"/>
          <w:pgMar w:left="1134" w:right="1440" w:header="720" w:top="993" w:footer="720" w:bottom="1560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2240" w:h="15840"/>
      <w:pgMar w:left="1134" w:right="1440" w:header="720" w:top="993" w:footer="720" w:bottom="15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entury Gothic">
    <w:charset w:val="01"/>
    <w:family w:val="roman"/>
    <w:pitch w:val="variable"/>
  </w:font>
  <w:font w:name="Verdan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">
    <w:charset w:val="01"/>
    <w:family w:val="roman"/>
    <w:pitch w:val="variable"/>
  </w:font>
  <w:font w:name="DejaVu Sans"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5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8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 Indent"/>
    <w:lsdException w:qFormat="1" w:unhideWhenUsed="0" w:semiHidden="0" w:uiPriority="0" w:name="Subtitle"/>
    <w:lsdException w:uiPriority="0" w:name="Body Text Indent 2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d524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n-US" w:eastAsia="en-US" w:bidi="ar-SA"/>
    </w:rPr>
  </w:style>
  <w:style w:type="paragraph" w:styleId="Heading3">
    <w:name w:val="Heading 3"/>
    <w:qFormat/>
    <w:link w:val="Heading3Char"/>
    <w:rsid w:val="002d524e"/>
    <w:basedOn w:val="Normal"/>
    <w:next w:val="Normal"/>
    <w:pPr>
      <w:keepNext/>
      <w:spacing w:lineRule="auto" w:line="280"/>
      <w:outlineLvl w:val="2"/>
    </w:pPr>
    <w:rPr>
      <w:rFonts w:ascii="Century Gothic" w:hAnsi="Century Gothic"/>
      <w:b/>
      <w:bCs/>
      <w:szCs w:val="24"/>
      <w:lang w:val="en-GB"/>
    </w:rPr>
  </w:style>
  <w:style w:type="character" w:styleId="DefaultParagraphFont" w:default="1">
    <w:name w:val="Default Paragraph Font"/>
    <w:uiPriority w:val="1"/>
    <w:unhideWhenUsed/>
    <w:rPr/>
  </w:style>
  <w:style w:type="character" w:styleId="Heading3Char" w:customStyle="1">
    <w:name w:val="Heading 3 Char"/>
    <w:link w:val="Heading3"/>
    <w:rsid w:val="002d524e"/>
    <w:basedOn w:val="DefaultParagraphFont"/>
    <w:rPr>
      <w:rFonts w:ascii="Century Gothic" w:hAnsi="Century Gothic" w:eastAsia="Times New Roman" w:cs="Times New Roman"/>
      <w:b/>
      <w:bCs/>
      <w:sz w:val="24"/>
      <w:szCs w:val="24"/>
      <w:lang w:val="en-GB"/>
    </w:rPr>
  </w:style>
  <w:style w:type="character" w:styleId="SubtitleChar" w:customStyle="1">
    <w:name w:val="Subtitle Char"/>
    <w:link w:val="Subtitle"/>
    <w:rsid w:val="002d524e"/>
    <w:basedOn w:val="DefaultParagraphFont"/>
    <w:rPr>
      <w:rFonts w:ascii="Verdana" w:hAnsi="Verdana" w:eastAsia="Times New Roman" w:cs="Arial"/>
      <w:b/>
      <w:bCs/>
      <w:sz w:val="36"/>
      <w:szCs w:val="24"/>
      <w:lang w:val="en-US"/>
    </w:rPr>
  </w:style>
  <w:style w:type="character" w:styleId="BodyTextIndentChar" w:customStyle="1">
    <w:name w:val="Body Text Indent Char"/>
    <w:link w:val="BodyTextIndent"/>
    <w:rsid w:val="002d524e"/>
    <w:basedOn w:val="DefaultParagraphFont"/>
    <w:rPr>
      <w:rFonts w:ascii="Century Gothic" w:hAnsi="Century Gothic" w:eastAsia="Times New Roman" w:cs="Times New Roman"/>
      <w:sz w:val="24"/>
      <w:szCs w:val="24"/>
      <w:lang w:val="en-GB"/>
    </w:rPr>
  </w:style>
  <w:style w:type="character" w:styleId="BodyTextIndent2Char" w:customStyle="1">
    <w:name w:val="Body Text Indent 2 Char"/>
    <w:link w:val="BodyTextIndent2"/>
    <w:rsid w:val="002d524e"/>
    <w:basedOn w:val="DefaultParagraphFont"/>
    <w:rPr>
      <w:rFonts w:ascii="Century Gothic" w:hAnsi="Century Gothic" w:eastAsia="Times New Roman" w:cs="Times New Roman"/>
      <w:sz w:val="24"/>
      <w:szCs w:val="24"/>
      <w:lang w:val="en-GB"/>
    </w:rPr>
  </w:style>
  <w:style w:type="character" w:styleId="FooterChar" w:customStyle="1">
    <w:name w:val="Footer Char"/>
    <w:uiPriority w:val="99"/>
    <w:link w:val="Footer"/>
    <w:rsid w:val="002d524e"/>
    <w:basedOn w:val="DefaultParagraphFont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HeaderChar" w:customStyle="1">
    <w:name w:val="Header Char"/>
    <w:uiPriority w:val="99"/>
    <w:link w:val="Header"/>
    <w:rsid w:val="00a84210"/>
    <w:basedOn w:val="DefaultParagraphFont"/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BalloonTextChar" w:customStyle="1">
    <w:name w:val="Balloon Text Char"/>
    <w:uiPriority w:val="99"/>
    <w:semiHidden/>
    <w:link w:val="BalloonText"/>
    <w:rsid w:val="00a84210"/>
    <w:basedOn w:val="DefaultParagraphFont"/>
    <w:rPr>
      <w:rFonts w:ascii="Tahoma" w:hAnsi="Tahoma" w:eastAsia="Times New Roman" w:cs="Tahoma"/>
      <w:sz w:val="16"/>
      <w:szCs w:val="16"/>
      <w:lang w:val="en-US"/>
    </w:rPr>
  </w:style>
  <w:style w:type="character" w:styleId="InternetLink">
    <w:name w:val="Internet Link"/>
    <w:uiPriority w:val="99"/>
    <w:unhideWhenUsed/>
    <w:rsid w:val="00163312"/>
    <w:basedOn w:val="DefaultParagraphFont"/>
    <w:rPr>
      <w:color w:val="0000FF"/>
      <w:u w:val="single"/>
      <w:lang w:val="zxx" w:eastAsia="zxx" w:bidi="zxx"/>
    </w:rPr>
  </w:style>
  <w:style w:type="character" w:styleId="ListLabel1">
    <w:name w:val="ListLabel 1"/>
    <w:rPr>
      <w:rFonts w:eastAsia="Times New Roman" w:cs="Times New Roman"/>
      <w:b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Symbol"/>
      <w:b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ListLabel7">
    <w:name w:val="ListLabel 7"/>
    <w:rPr>
      <w:rFonts w:cs="Symbol"/>
      <w:b/>
    </w:rPr>
  </w:style>
  <w:style w:type="character" w:styleId="ListLabel8">
    <w:name w:val="ListLabel 8"/>
    <w:rPr>
      <w:rFonts w:cs="Courier New"/>
    </w:rPr>
  </w:style>
  <w:style w:type="character" w:styleId="ListLabel9">
    <w:name w:val="ListLabel 9"/>
    <w:rPr>
      <w:rFonts w:cs="Wingdings"/>
    </w:rPr>
  </w:style>
  <w:style w:type="character" w:styleId="ListLabel10">
    <w:name w:val="ListLabel 10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Subtitle">
    <w:name w:val="Subtitle"/>
    <w:qFormat/>
    <w:link w:val="SubtitleChar"/>
    <w:rsid w:val="002d524e"/>
    <w:basedOn w:val="Normal"/>
    <w:pPr>
      <w:jc w:val="center"/>
    </w:pPr>
    <w:rPr>
      <w:rFonts w:ascii="Verdana" w:hAnsi="Verdana" w:cs="Arial"/>
      <w:b/>
      <w:bCs/>
      <w:sz w:val="36"/>
      <w:szCs w:val="24"/>
    </w:rPr>
  </w:style>
  <w:style w:type="paragraph" w:styleId="TextBodyIndent">
    <w:name w:val="Text Body Indent"/>
    <w:link w:val="BodyTextIndentChar"/>
    <w:rsid w:val="002d524e"/>
    <w:basedOn w:val="Normal"/>
    <w:pPr>
      <w:spacing w:lineRule="auto" w:line="280"/>
      <w:ind w:left="720" w:right="0" w:hanging="0"/>
    </w:pPr>
    <w:rPr>
      <w:rFonts w:ascii="Century Gothic" w:hAnsi="Century Gothic"/>
      <w:szCs w:val="24"/>
      <w:lang w:val="en-GB"/>
    </w:rPr>
  </w:style>
  <w:style w:type="paragraph" w:styleId="BodyTextIndent2">
    <w:name w:val="Body Text Indent 2"/>
    <w:link w:val="BodyTextIndent2Char"/>
    <w:rsid w:val="002d524e"/>
    <w:basedOn w:val="Normal"/>
    <w:pPr>
      <w:spacing w:lineRule="auto" w:line="280"/>
      <w:ind w:left="900" w:right="0" w:hanging="180"/>
    </w:pPr>
    <w:rPr>
      <w:rFonts w:ascii="Century Gothic" w:hAnsi="Century Gothic"/>
      <w:szCs w:val="24"/>
      <w:lang w:val="en-GB"/>
    </w:rPr>
  </w:style>
  <w:style w:type="paragraph" w:styleId="Footer">
    <w:name w:val="Footer"/>
    <w:uiPriority w:val="99"/>
    <w:unhideWhenUsed/>
    <w:link w:val="FooterChar"/>
    <w:rsid w:val="002d524e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uiPriority w:val="34"/>
    <w:qFormat/>
    <w:rsid w:val="002d524e"/>
    <w:basedOn w:val="Normal"/>
    <w:pPr>
      <w:spacing w:before="0" w:after="0"/>
      <w:ind w:left="720" w:right="0" w:hanging="0"/>
      <w:contextualSpacing/>
    </w:pPr>
    <w:rPr/>
  </w:style>
  <w:style w:type="paragraph" w:styleId="Header">
    <w:name w:val="Header"/>
    <w:uiPriority w:val="99"/>
    <w:unhideWhenUsed/>
    <w:link w:val="HeaderChar"/>
    <w:rsid w:val="00a84210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uiPriority w:val="99"/>
    <w:semiHidden/>
    <w:unhideWhenUsed/>
    <w:link w:val="BalloonTextChar"/>
    <w:rsid w:val="00a84210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2014-02-01T15:37:00Z</dcterms:created>
  <dc:creator>Linnea</dc:creator>
  <dc:language>en-CA</dc:language>
  <cp:lastModifiedBy>Linnea</cp:lastModifiedBy>
  <dcterms:modified xsi:type="dcterms:W3CDTF">2014-02-01T15:42:00Z</dcterms:modified>
  <cp:revision>4</cp:revision>
</cp:coreProperties>
</file>